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B5054" w:rsidRPr="00AC519A" w:rsidRDefault="00000000">
      <w:pPr>
        <w:spacing w:before="2200"/>
        <w:rPr>
          <w:color w:val="C00000"/>
          <w:sz w:val="56"/>
          <w:szCs w:val="56"/>
        </w:rPr>
      </w:pPr>
      <w:r>
        <w:rPr>
          <w:b/>
          <w:bCs/>
          <w:color w:val="C00000"/>
          <w:sz w:val="56"/>
          <w:szCs w:val="56"/>
        </w:rPr>
        <w:t>PUMPÚN DIXITAL  S.L.</w:t>
      </w:r>
    </w:p>
    <w:p w:rsidR="00EB5054" w:rsidRPr="00AC519A" w:rsidRDefault="00000000">
      <w:pPr>
        <w:spacing w:after="1400"/>
        <w:rPr>
          <w:sz w:val="24"/>
          <w:szCs w:val="24"/>
        </w:rPr>
      </w:pPr>
      <w:r>
        <w:rPr>
          <w:color w:val="595959"/>
          <w:sz w:val="24"/>
          <w:szCs w:val="24"/>
        </w:rPr>
        <w:t>Software · Servicios gestionados · Inteligencia Artificial</w:t>
      </w:r>
    </w:p>
    <w:p w:rsidR="00EB5054" w:rsidRDefault="00000000">
      <w:r>
        <w:rPr>
          <w:b/>
          <w:bCs/>
          <w:color w:val="595959"/>
          <w:sz w:val="24"/>
          <w:szCs w:val="24"/>
        </w:rPr>
        <w:t>PROPUESTA DE SERVICIOS</w:t>
      </w:r>
    </w:p>
    <w:p w:rsidR="00EB5054" w:rsidRDefault="00000000">
      <w:pPr>
        <w:spacing w:after="120"/>
      </w:pPr>
      <w:r>
        <w:rPr>
          <w:b/>
          <w:bCs/>
          <w:sz w:val="36"/>
          <w:szCs w:val="36"/>
        </w:rPr>
        <w:t>Consultoría e implantación de Inteligencia Artificial y automatización de procesos</w:t>
      </w:r>
    </w:p>
    <w:p w:rsidR="00EB5054" w:rsidRDefault="00EB5054">
      <w:pPr>
        <w:pBdr>
          <w:bottom w:val="single" w:sz="10" w:space="8" w:color="D5323D"/>
        </w:pBdr>
        <w:spacing w:before="200"/>
      </w:pPr>
    </w:p>
    <w:p w:rsidR="00EB5054" w:rsidRDefault="00AC519A">
      <w:pPr>
        <w:spacing w:before="600"/>
      </w:pPr>
      <w:r>
        <w:rPr>
          <w:color w:val="595959"/>
          <w:sz w:val="20"/>
          <w:szCs w:val="20"/>
        </w:rPr>
        <w:t>Cliente:</w:t>
      </w:r>
    </w:p>
    <w:p w:rsidR="00EB5054" w:rsidRDefault="00000000">
      <w:r>
        <w:rPr>
          <w:b/>
          <w:bCs/>
          <w:sz w:val="26"/>
          <w:szCs w:val="26"/>
        </w:rPr>
        <w:t>DOLMEN GRANITOS Y MÁRMOLES, S.L.</w:t>
      </w:r>
    </w:p>
    <w:p w:rsidR="00EB5054" w:rsidRDefault="00AC519A">
      <w:pPr>
        <w:spacing w:before="500"/>
      </w:pPr>
      <w:r>
        <w:rPr>
          <w:color w:val="595959"/>
          <w:sz w:val="20"/>
          <w:szCs w:val="20"/>
        </w:rPr>
        <w:t>Por:</w:t>
      </w:r>
    </w:p>
    <w:p w:rsidR="00EB5054" w:rsidRDefault="00000000">
      <w:r>
        <w:rPr>
          <w:b/>
          <w:bCs/>
          <w:sz w:val="24"/>
          <w:szCs w:val="24"/>
        </w:rPr>
        <w:t>Pumpún Dixital, S.L.</w:t>
      </w:r>
    </w:p>
    <w:p w:rsidR="00EB5054" w:rsidRDefault="00000000">
      <w:r>
        <w:rPr>
          <w:color w:val="595959"/>
          <w:sz w:val="18"/>
          <w:szCs w:val="18"/>
        </w:rPr>
        <w:t>Vigo · Madrid · Certificación ENS Categoría Alta</w:t>
      </w:r>
    </w:p>
    <w:p w:rsidR="00EB5054" w:rsidRDefault="00000000">
      <w:pPr>
        <w:spacing w:before="900"/>
      </w:pPr>
      <w:r>
        <w:rPr>
          <w:color w:val="595959"/>
          <w:sz w:val="18"/>
          <w:szCs w:val="18"/>
        </w:rPr>
        <w:t>Documento confidencial · 30 de junio de 2026</w:t>
      </w:r>
    </w:p>
    <w:p w:rsidR="00EB5054" w:rsidRDefault="00000000">
      <w:r>
        <w:rPr>
          <w:color w:val="595959"/>
          <w:sz w:val="18"/>
          <w:szCs w:val="18"/>
        </w:rPr>
        <w:t>Ref. propuesta: PD-CONS-2026-DOLMEN-01</w:t>
      </w:r>
    </w:p>
    <w:p w:rsidR="00EB5054" w:rsidRDefault="00EB5054">
      <w:pPr>
        <w:sectPr w:rsidR="00EB5054">
          <w:pgSz w:w="11906" w:h="16838"/>
          <w:pgMar w:top="1440" w:right="1440" w:bottom="1440" w:left="1440" w:header="708" w:footer="708" w:gutter="0"/>
          <w:cols w:space="720"/>
          <w:docGrid w:linePitch="360"/>
        </w:sectPr>
      </w:pPr>
    </w:p>
    <w:p w:rsidR="00EB5054" w:rsidRPr="00AC519A" w:rsidRDefault="00000000">
      <w:pPr>
        <w:pStyle w:val="Ttulo1"/>
        <w:rPr>
          <w:color w:val="C00000"/>
        </w:rPr>
      </w:pPr>
      <w:r>
        <w:rPr>
          <w:color w:val="C00000"/>
        </w:rPr>
        <w:lastRenderedPageBreak/>
        <w:t>1. Presentación y contexto</w:t>
      </w:r>
    </w:p>
    <w:p w:rsidR="00EB5054" w:rsidRDefault="00000000">
      <w:pPr>
        <w:spacing w:after="140" w:line="276" w:lineRule="auto"/>
        <w:jc w:val="both"/>
      </w:pPr>
      <w:r>
        <w:rPr>
          <w:b/>
          <w:bCs/>
        </w:rPr>
        <w:t>Pumpún Dixital, S.L.</w:t>
      </w:r>
      <w:r>
        <w:t xml:space="preserve"> es una compañía española de software y servicios gestionados con sedes en Vigo y Madrid, especializada en inteligencia artificial, automatización de procesos y desarrollo de plataformas para entornos exigentes en seguridad y cumplimiento. Operamos bajo certificación del Esquema Nacional de Seguridad (ENS) en Categoría Alta y contamos con un departamento de I+D propio dedicado a soluciones de IA.</w:t>
      </w:r>
    </w:p>
    <w:p w:rsidR="00EB5054" w:rsidRDefault="00000000">
      <w:pPr>
        <w:spacing w:after="140" w:line="276" w:lineRule="auto"/>
        <w:jc w:val="both"/>
      </w:pPr>
      <w:r>
        <w:rPr>
          <w:b/>
          <w:bCs/>
        </w:rPr>
        <w:t>DOLMEN Granitos y Mármoles, S.L.</w:t>
      </w:r>
      <w:r>
        <w:t xml:space="preserve"> desarrolla su actividad en la extracción de piedra natural en cantera —con aprovisionamiento de bloque en distintos países— y en su posterior transformación. Es un sector intensivo en procesos físicos, logística internacional de materiales de gran tonelaje, control de calidad del producto y gestión comercial de un catálogo amplio y variable. Este perfil ofrece un terreno especialmente fértil para la incorporación de IA y automatización, precisamente porque buena parte del conocimiento y de las decisiones siguen residiendo hoy en personas y procesos manuales.</w:t>
      </w:r>
    </w:p>
    <w:p w:rsidR="00EB5054" w:rsidRDefault="00000000">
      <w:pPr>
        <w:spacing w:after="140" w:line="276" w:lineRule="auto"/>
        <w:jc w:val="both"/>
      </w:pPr>
      <w:r>
        <w:t>El presente documento propone un marco de colaboración por fases que permite a DOLMEN incorporar estas tecnologías de forma progresiva, ordenada y con bajo riesgo: empezando por un diagnóstico acotado que identifica dónde aplicar IA con mayor retorno, antes de comprometer inversión en desarrollos concretos.</w:t>
      </w:r>
    </w:p>
    <w:p w:rsidR="00EB5054" w:rsidRPr="00AC519A" w:rsidRDefault="00000000">
      <w:pPr>
        <w:pStyle w:val="Ttulo1"/>
        <w:rPr>
          <w:color w:val="C00000"/>
        </w:rPr>
      </w:pPr>
      <w:r>
        <w:rPr>
          <w:color w:val="C00000"/>
        </w:rPr>
        <w:t>2. Objetivos de la colaboración</w:t>
      </w:r>
    </w:p>
    <w:p w:rsidR="00EB5054" w:rsidRDefault="00000000">
      <w:pPr>
        <w:pStyle w:val="Prrafodelista"/>
        <w:numPr>
          <w:ilvl w:val="0"/>
          <w:numId w:val="2"/>
        </w:numPr>
        <w:spacing w:after="80" w:line="276" w:lineRule="auto"/>
        <w:jc w:val="both"/>
      </w:pPr>
      <w:r>
        <w:rPr>
          <w:b/>
          <w:bCs/>
        </w:rPr>
        <w:t>Identificar y priorizar</w:t>
      </w:r>
      <w:r>
        <w:t xml:space="preserve"> los procesos de DOLMEN donde la IA y la automatización aporten mayor valor en relación al esfuerzo de implantación.</w:t>
      </w:r>
    </w:p>
    <w:p w:rsidR="00EB5054" w:rsidRDefault="00000000">
      <w:pPr>
        <w:pStyle w:val="Prrafodelista"/>
        <w:numPr>
          <w:ilvl w:val="0"/>
          <w:numId w:val="2"/>
        </w:numPr>
        <w:spacing w:after="80" w:line="276" w:lineRule="auto"/>
        <w:jc w:val="both"/>
      </w:pPr>
      <w:r>
        <w:rPr>
          <w:b/>
          <w:bCs/>
        </w:rPr>
        <w:t>Dotar a la dirección</w:t>
      </w:r>
      <w:r>
        <w:t xml:space="preserve"> de una hoja de ruta realista y secuenciada, con casos de uso ordenados por impacto, coste y plazo.</w:t>
      </w:r>
    </w:p>
    <w:p w:rsidR="00EB5054" w:rsidRDefault="00000000">
      <w:pPr>
        <w:pStyle w:val="Prrafodelista"/>
        <w:numPr>
          <w:ilvl w:val="0"/>
          <w:numId w:val="2"/>
        </w:numPr>
        <w:spacing w:after="80" w:line="276" w:lineRule="auto"/>
        <w:jc w:val="both"/>
      </w:pPr>
      <w:r>
        <w:rPr>
          <w:b/>
          <w:bCs/>
        </w:rPr>
        <w:t>Implantar soluciones concretas</w:t>
      </w:r>
      <w:r>
        <w:t xml:space="preserve"> de forma faseada, midiendo resultados antes de escalar.</w:t>
      </w:r>
    </w:p>
    <w:p w:rsidR="00EB5054" w:rsidRDefault="00000000">
      <w:pPr>
        <w:pStyle w:val="Prrafodelista"/>
        <w:numPr>
          <w:ilvl w:val="0"/>
          <w:numId w:val="2"/>
        </w:numPr>
        <w:spacing w:after="80" w:line="276" w:lineRule="auto"/>
        <w:jc w:val="both"/>
      </w:pPr>
      <w:r>
        <w:rPr>
          <w:b/>
          <w:bCs/>
        </w:rPr>
        <w:t>Transferir conocimiento</w:t>
      </w:r>
      <w:r>
        <w:t xml:space="preserve"> al equipo de DOLMEN para reducir la dependencia externa a medio plazo.</w:t>
      </w:r>
    </w:p>
    <w:p w:rsidR="00EB5054" w:rsidRDefault="00000000">
      <w:pPr>
        <w:pStyle w:val="Prrafodelista"/>
        <w:numPr>
          <w:ilvl w:val="0"/>
          <w:numId w:val="2"/>
        </w:numPr>
        <w:spacing w:after="80" w:line="276" w:lineRule="auto"/>
        <w:jc w:val="both"/>
      </w:pPr>
      <w:r>
        <w:rPr>
          <w:b/>
          <w:bCs/>
        </w:rPr>
        <w:t>Garantizar el cumplimiento</w:t>
      </w:r>
      <w:r>
        <w:t xml:space="preserve"> en materia de protección de datos (RGPD) y seguridad de la información desde el primer día.</w:t>
      </w:r>
    </w:p>
    <w:p w:rsidR="00EB5054" w:rsidRPr="00AC519A" w:rsidRDefault="00000000">
      <w:pPr>
        <w:pStyle w:val="Ttulo1"/>
        <w:rPr>
          <w:color w:val="C00000"/>
        </w:rPr>
      </w:pPr>
      <w:r>
        <w:rPr>
          <w:color w:val="C00000"/>
        </w:rPr>
        <w:t>3. Enfoque metodológico: colaboración por fases</w:t>
      </w:r>
    </w:p>
    <w:p w:rsidR="00EB5054" w:rsidRDefault="00000000">
      <w:pPr>
        <w:spacing w:after="140" w:line="276" w:lineRule="auto"/>
        <w:jc w:val="both"/>
      </w:pPr>
      <w:r>
        <w:t>Cuando una organización parte de un punto de madurez bajo en IA, comprometer de golpe un gran proyecto es arriesgado para ambas partes: ni el cliente sabe aún qué necesita realmente, ni el proveedor puede dimensionar correctamente el alcance. Por ello proponemos una colaboración estructurada en tres fases sucesivas, cada una con entregables propios y decisión de continuidad al final.</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00"/>
        <w:gridCol w:w="3100"/>
        <w:gridCol w:w="3026"/>
        <w:gridCol w:w="1600"/>
      </w:tblGrid>
      <w:tr w:rsidR="00EB5054">
        <w:trPr>
          <w:tblHeader/>
        </w:trPr>
        <w:tc>
          <w:tcPr>
            <w:tcW w:w="1300" w:type="dxa"/>
            <w:tcBorders>
              <w:top w:val="single" w:sz="1" w:space="0" w:color="CCCCCC"/>
              <w:left w:val="single" w:sz="1" w:space="0" w:color="CCCCCC"/>
              <w:bottom w:val="single" w:sz="1" w:space="0" w:color="CCCCCC"/>
              <w:right w:val="single" w:sz="1" w:space="0" w:color="CCCCCC"/>
            </w:tcBorders>
            <w:shd w:val="clear" w:color="auto" w:fill="D5323D"/>
            <w:tcMar>
              <w:top w:w="90" w:type="dxa"/>
              <w:left w:w="140" w:type="dxa"/>
              <w:bottom w:w="90" w:type="dxa"/>
              <w:right w:w="140" w:type="dxa"/>
            </w:tcMar>
            <w:vAlign w:val="center"/>
          </w:tcPr>
          <w:p w:rsidR="00EB5054" w:rsidRDefault="00000000">
            <w:r>
              <w:rPr>
                <w:b/>
                <w:bCs/>
                <w:color w:val="FFFFFF"/>
                <w:sz w:val="20"/>
                <w:szCs w:val="20"/>
              </w:rPr>
              <w:t>Fase</w:t>
            </w:r>
          </w:p>
        </w:tc>
        <w:tc>
          <w:tcPr>
            <w:tcW w:w="3100" w:type="dxa"/>
            <w:tcBorders>
              <w:top w:val="single" w:sz="1" w:space="0" w:color="CCCCCC"/>
              <w:left w:val="single" w:sz="1" w:space="0" w:color="CCCCCC"/>
              <w:bottom w:val="single" w:sz="1" w:space="0" w:color="CCCCCC"/>
              <w:right w:val="single" w:sz="1" w:space="0" w:color="CCCCCC"/>
            </w:tcBorders>
            <w:shd w:val="clear" w:color="auto" w:fill="D5323D"/>
            <w:tcMar>
              <w:top w:w="90" w:type="dxa"/>
              <w:left w:w="140" w:type="dxa"/>
              <w:bottom w:w="90" w:type="dxa"/>
              <w:right w:w="140" w:type="dxa"/>
            </w:tcMar>
            <w:vAlign w:val="center"/>
          </w:tcPr>
          <w:p w:rsidR="00EB5054" w:rsidRDefault="00000000">
            <w:r>
              <w:rPr>
                <w:b/>
                <w:bCs/>
                <w:color w:val="FFFFFF"/>
                <w:sz w:val="20"/>
                <w:szCs w:val="20"/>
              </w:rPr>
              <w:t>Descripción</w:t>
            </w:r>
          </w:p>
        </w:tc>
        <w:tc>
          <w:tcPr>
            <w:tcW w:w="3026" w:type="dxa"/>
            <w:tcBorders>
              <w:top w:val="single" w:sz="1" w:space="0" w:color="CCCCCC"/>
              <w:left w:val="single" w:sz="1" w:space="0" w:color="CCCCCC"/>
              <w:bottom w:val="single" w:sz="1" w:space="0" w:color="CCCCCC"/>
              <w:right w:val="single" w:sz="1" w:space="0" w:color="CCCCCC"/>
            </w:tcBorders>
            <w:shd w:val="clear" w:color="auto" w:fill="D5323D"/>
            <w:tcMar>
              <w:top w:w="90" w:type="dxa"/>
              <w:left w:w="140" w:type="dxa"/>
              <w:bottom w:w="90" w:type="dxa"/>
              <w:right w:w="140" w:type="dxa"/>
            </w:tcMar>
            <w:vAlign w:val="center"/>
          </w:tcPr>
          <w:p w:rsidR="00EB5054" w:rsidRDefault="00000000">
            <w:r>
              <w:rPr>
                <w:b/>
                <w:bCs/>
                <w:color w:val="FFFFFF"/>
                <w:sz w:val="20"/>
                <w:szCs w:val="20"/>
              </w:rPr>
              <w:t>Entregable principal</w:t>
            </w:r>
          </w:p>
        </w:tc>
        <w:tc>
          <w:tcPr>
            <w:tcW w:w="1600" w:type="dxa"/>
            <w:tcBorders>
              <w:top w:val="single" w:sz="1" w:space="0" w:color="CCCCCC"/>
              <w:left w:val="single" w:sz="1" w:space="0" w:color="CCCCCC"/>
              <w:bottom w:val="single" w:sz="1" w:space="0" w:color="CCCCCC"/>
              <w:right w:val="single" w:sz="1" w:space="0" w:color="CCCCCC"/>
            </w:tcBorders>
            <w:shd w:val="clear" w:color="auto" w:fill="D5323D"/>
            <w:tcMar>
              <w:top w:w="90" w:type="dxa"/>
              <w:left w:w="140" w:type="dxa"/>
              <w:bottom w:w="90" w:type="dxa"/>
              <w:right w:w="140" w:type="dxa"/>
            </w:tcMar>
            <w:vAlign w:val="center"/>
          </w:tcPr>
          <w:p w:rsidR="00EB5054" w:rsidRDefault="00000000">
            <w:r>
              <w:rPr>
                <w:b/>
                <w:bCs/>
                <w:color w:val="FFFFFF"/>
                <w:sz w:val="20"/>
                <w:szCs w:val="20"/>
              </w:rPr>
              <w:t>Duración</w:t>
            </w:r>
          </w:p>
        </w:tc>
      </w:tr>
      <w:tr w:rsidR="00EB5054">
        <w:tc>
          <w:tcPr>
            <w:tcW w:w="1300" w:type="dxa"/>
            <w:tcBorders>
              <w:top w:val="single" w:sz="1" w:space="0" w:color="CCCCCC"/>
              <w:left w:val="single" w:sz="1" w:space="0" w:color="CCCCCC"/>
              <w:bottom w:val="single" w:sz="1" w:space="0" w:color="CCCCCC"/>
              <w:right w:val="single" w:sz="1" w:space="0" w:color="CCCCCC"/>
            </w:tcBorders>
            <w:shd w:val="clear" w:color="auto" w:fill="FBEAEB"/>
            <w:tcMar>
              <w:top w:w="90" w:type="dxa"/>
              <w:left w:w="140" w:type="dxa"/>
              <w:bottom w:w="90" w:type="dxa"/>
              <w:right w:w="140" w:type="dxa"/>
            </w:tcMar>
            <w:vAlign w:val="center"/>
          </w:tcPr>
          <w:p w:rsidR="00EB5054" w:rsidRDefault="00000000">
            <w:r>
              <w:rPr>
                <w:b/>
                <w:bCs/>
                <w:sz w:val="20"/>
                <w:szCs w:val="20"/>
              </w:rPr>
              <w:t>Fase 1</w:t>
            </w:r>
          </w:p>
        </w:tc>
        <w:tc>
          <w:tcPr>
            <w:tcW w:w="31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Diagnóstico de madurez y mapa de oportunidades de IA</w:t>
            </w:r>
          </w:p>
        </w:tc>
        <w:tc>
          <w:tcPr>
            <w:tcW w:w="3026"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Informe de diagnóstico + hoja de ruta priorizada</w:t>
            </w:r>
          </w:p>
        </w:tc>
        <w:tc>
          <w:tcPr>
            <w:tcW w:w="16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917AE7">
            <w:r>
              <w:rPr>
                <w:sz w:val="20"/>
                <w:szCs w:val="20"/>
              </w:rPr>
              <w:t>5–6 semanas</w:t>
            </w:r>
          </w:p>
        </w:tc>
      </w:tr>
      <w:tr w:rsidR="00EB5054">
        <w:tc>
          <w:tcPr>
            <w:tcW w:w="1300" w:type="dxa"/>
            <w:tcBorders>
              <w:top w:val="single" w:sz="1" w:space="0" w:color="CCCCCC"/>
              <w:left w:val="single" w:sz="1" w:space="0" w:color="CCCCCC"/>
              <w:bottom w:val="single" w:sz="1" w:space="0" w:color="CCCCCC"/>
              <w:right w:val="single" w:sz="1" w:space="0" w:color="CCCCCC"/>
            </w:tcBorders>
            <w:shd w:val="clear" w:color="auto" w:fill="FBEAEB"/>
            <w:tcMar>
              <w:top w:w="90" w:type="dxa"/>
              <w:left w:w="140" w:type="dxa"/>
              <w:bottom w:w="90" w:type="dxa"/>
              <w:right w:w="140" w:type="dxa"/>
            </w:tcMar>
            <w:vAlign w:val="center"/>
          </w:tcPr>
          <w:p w:rsidR="00EB5054" w:rsidRDefault="00000000">
            <w:r>
              <w:rPr>
                <w:b/>
                <w:bCs/>
                <w:sz w:val="20"/>
                <w:szCs w:val="20"/>
              </w:rPr>
              <w:lastRenderedPageBreak/>
              <w:t>Fase 2</w:t>
            </w:r>
          </w:p>
        </w:tc>
        <w:tc>
          <w:tcPr>
            <w:tcW w:w="31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Implantación de casos de uso priorizados (por proyectos)</w:t>
            </w:r>
          </w:p>
        </w:tc>
        <w:tc>
          <w:tcPr>
            <w:tcW w:w="3026"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Soluciones en producción + documentación</w:t>
            </w:r>
          </w:p>
        </w:tc>
        <w:tc>
          <w:tcPr>
            <w:tcW w:w="16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Según proyecto</w:t>
            </w:r>
          </w:p>
        </w:tc>
      </w:tr>
      <w:tr w:rsidR="00EB5054">
        <w:tc>
          <w:tcPr>
            <w:tcW w:w="1300" w:type="dxa"/>
            <w:tcBorders>
              <w:top w:val="single" w:sz="1" w:space="0" w:color="CCCCCC"/>
              <w:left w:val="single" w:sz="1" w:space="0" w:color="CCCCCC"/>
              <w:bottom w:val="single" w:sz="1" w:space="0" w:color="CCCCCC"/>
              <w:right w:val="single" w:sz="1" w:space="0" w:color="CCCCCC"/>
            </w:tcBorders>
            <w:shd w:val="clear" w:color="auto" w:fill="FBEAEB"/>
            <w:tcMar>
              <w:top w:w="90" w:type="dxa"/>
              <w:left w:w="140" w:type="dxa"/>
              <w:bottom w:w="90" w:type="dxa"/>
              <w:right w:w="140" w:type="dxa"/>
            </w:tcMar>
            <w:vAlign w:val="center"/>
          </w:tcPr>
          <w:p w:rsidR="00EB5054" w:rsidRDefault="00000000">
            <w:r>
              <w:rPr>
                <w:b/>
                <w:bCs/>
                <w:sz w:val="20"/>
                <w:szCs w:val="20"/>
              </w:rPr>
              <w:t>Fase 3</w:t>
            </w:r>
          </w:p>
        </w:tc>
        <w:tc>
          <w:tcPr>
            <w:tcW w:w="31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Acompañamiento, soporte y mejora continua</w:t>
            </w:r>
          </w:p>
        </w:tc>
        <w:tc>
          <w:tcPr>
            <w:tcW w:w="3026"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Servicio recurrente + evolución del roadmap</w:t>
            </w:r>
          </w:p>
        </w:tc>
        <w:tc>
          <w:tcPr>
            <w:tcW w:w="16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Recurrente</w:t>
            </w:r>
          </w:p>
        </w:tc>
      </w:tr>
    </w:tbl>
    <w:p w:rsidR="00EB5054" w:rsidRDefault="00EB5054">
      <w:pPr>
        <w:spacing w:after="140" w:line="276" w:lineRule="auto"/>
        <w:jc w:val="both"/>
      </w:pPr>
    </w:p>
    <w:p w:rsidR="00EB5054" w:rsidRDefault="00000000">
      <w:pPr>
        <w:spacing w:after="140" w:line="276" w:lineRule="auto"/>
        <w:jc w:val="both"/>
      </w:pPr>
      <w:r>
        <w:t>La firma de un Acuerdo Marco de Prestación de Servicios establece de una sola vez las condiciones comunes (confidencialidad, propiedad intelectual, protección de datos, responsabilidad y facturación). Cada fase o proyecto concreto se incorpora después mediante una Hoja de Encargo (Orden de Trabajo) que detalla alcance, entregables, plazos y precio, sin necesidad de renegociar el marco legal en cada paso.</w:t>
      </w:r>
    </w:p>
    <w:p w:rsidR="00EB5054" w:rsidRPr="00917AE7" w:rsidRDefault="00000000">
      <w:pPr>
        <w:pStyle w:val="Ttulo1"/>
        <w:rPr>
          <w:color w:val="C00000"/>
        </w:rPr>
      </w:pPr>
      <w:r>
        <w:rPr>
          <w:color w:val="C00000"/>
        </w:rPr>
        <w:t>4. Fase 1 — Diagnóstico de madurez y mapa de oportunidades</w:t>
      </w:r>
    </w:p>
    <w:p w:rsidR="00EB5054" w:rsidRDefault="00000000">
      <w:pPr>
        <w:spacing w:after="140" w:line="276" w:lineRule="auto"/>
        <w:jc w:val="both"/>
      </w:pPr>
      <w:r>
        <w:t>Es la puerta de entrada de la colaboración y la fase que aquí proponemos arrancar de inmediato. Su objetivo es entender en profundidad cómo trabaja DOLMEN hoy y producir un mapa accionable de dónde aplicar IA y automatización, con casos de uso priorizados por retorno.</w:t>
      </w:r>
    </w:p>
    <w:p w:rsidR="00EB5054" w:rsidRDefault="00000000">
      <w:pPr>
        <w:pStyle w:val="Ttulo2"/>
      </w:pPr>
      <w:r>
        <w:t>4.1. Actividades</w:t>
      </w:r>
    </w:p>
    <w:p w:rsidR="00EB5054" w:rsidRDefault="00000000">
      <w:pPr>
        <w:pStyle w:val="Prrafodelista"/>
        <w:numPr>
          <w:ilvl w:val="0"/>
          <w:numId w:val="3"/>
        </w:numPr>
        <w:spacing w:after="80" w:line="276" w:lineRule="auto"/>
        <w:jc w:val="both"/>
      </w:pPr>
      <w:r>
        <w:t>Sesiones de trabajo con dirección y con responsables de las áreas clave (cantera/aprovisionamiento, producción/transformación, logística, comercial, calidad y administración).</w:t>
      </w:r>
    </w:p>
    <w:p w:rsidR="00EB5054" w:rsidRDefault="00000000">
      <w:pPr>
        <w:pStyle w:val="Prrafodelista"/>
        <w:numPr>
          <w:ilvl w:val="0"/>
          <w:numId w:val="3"/>
        </w:numPr>
        <w:spacing w:after="80" w:line="276" w:lineRule="auto"/>
        <w:jc w:val="both"/>
      </w:pPr>
      <w:r>
        <w:t>Revisión de los flujos de información actuales: herramientas, hojas de cálculo, ERP si lo hubiera, documentación, correo y puntos de decisión manual.</w:t>
      </w:r>
    </w:p>
    <w:p w:rsidR="00EB5054" w:rsidRDefault="00000000">
      <w:pPr>
        <w:pStyle w:val="Prrafodelista"/>
        <w:numPr>
          <w:ilvl w:val="0"/>
          <w:numId w:val="3"/>
        </w:numPr>
        <w:spacing w:after="80" w:line="276" w:lineRule="auto"/>
        <w:jc w:val="both"/>
      </w:pPr>
      <w:r>
        <w:t>Identificación de cuellos de botella, tareas repetitivas, datos infrautilizados y decisiones que hoy dependen de la experiencia de personas concretas.</w:t>
      </w:r>
    </w:p>
    <w:p w:rsidR="00EB5054" w:rsidRDefault="00000000">
      <w:pPr>
        <w:pStyle w:val="Prrafodelista"/>
        <w:numPr>
          <w:ilvl w:val="0"/>
          <w:numId w:val="3"/>
        </w:numPr>
        <w:spacing w:after="80" w:line="276" w:lineRule="auto"/>
        <w:jc w:val="both"/>
      </w:pPr>
      <w:r>
        <w:t>Catalogación de casos de uso candidatos y evaluación de cada uno según impacto en negocio, esfuerzo de implantación, disponibilidad de datos y riesgo.</w:t>
      </w:r>
    </w:p>
    <w:p w:rsidR="00EB5054" w:rsidRDefault="00000000">
      <w:pPr>
        <w:pStyle w:val="Prrafodelista"/>
        <w:numPr>
          <w:ilvl w:val="0"/>
          <w:numId w:val="3"/>
        </w:numPr>
        <w:spacing w:after="80" w:line="276" w:lineRule="auto"/>
        <w:jc w:val="both"/>
      </w:pPr>
      <w:r>
        <w:t>Priorización conjunta con DOLMEN y diseño de la hoja de ruta.</w:t>
      </w:r>
    </w:p>
    <w:p w:rsidR="00EB5054" w:rsidRDefault="00000000">
      <w:pPr>
        <w:pStyle w:val="Ttulo2"/>
      </w:pPr>
      <w:r>
        <w:t>4.2. Áreas de oportunidad típicas en el sector de la piedra natural</w:t>
      </w:r>
    </w:p>
    <w:p w:rsidR="00EB5054" w:rsidRDefault="00000000">
      <w:pPr>
        <w:spacing w:after="140" w:line="276" w:lineRule="auto"/>
        <w:jc w:val="both"/>
      </w:pPr>
      <w:r>
        <w:t>A título orientativo, y a la espera de validarlo durante el diagnóstico, en empresas de extracción y transformación de piedra suelen aparecer oportunidades como:</w:t>
      </w:r>
    </w:p>
    <w:p w:rsidR="00EB5054" w:rsidRDefault="00000000">
      <w:pPr>
        <w:pStyle w:val="Prrafodelista"/>
        <w:numPr>
          <w:ilvl w:val="0"/>
          <w:numId w:val="2"/>
        </w:numPr>
        <w:spacing w:after="80" w:line="276" w:lineRule="auto"/>
        <w:jc w:val="both"/>
      </w:pPr>
      <w:r>
        <w:rPr>
          <w:b/>
          <w:bCs/>
        </w:rPr>
        <w:t>Automatización de presupuestos y ofertas</w:t>
      </w:r>
      <w:r>
        <w:t xml:space="preserve"> a partir de medidas, tipo de material y acabados, reduciendo el tiempo de respuesta comercial.</w:t>
      </w:r>
    </w:p>
    <w:p w:rsidR="00EB5054" w:rsidRDefault="00000000">
      <w:pPr>
        <w:pStyle w:val="Prrafodelista"/>
        <w:numPr>
          <w:ilvl w:val="0"/>
          <w:numId w:val="2"/>
        </w:numPr>
        <w:spacing w:after="80" w:line="276" w:lineRule="auto"/>
        <w:jc w:val="both"/>
      </w:pPr>
      <w:r>
        <w:rPr>
          <w:b/>
          <w:bCs/>
        </w:rPr>
        <w:t>Control de calidad asistido por visión artificial</w:t>
      </w:r>
      <w:r>
        <w:t xml:space="preserve"> para clasificación de bloques y tablas, detección de defectos, vetas o tonalidades, y homogeneización de lotes.</w:t>
      </w:r>
    </w:p>
    <w:p w:rsidR="00EB5054" w:rsidRDefault="00000000">
      <w:pPr>
        <w:pStyle w:val="Prrafodelista"/>
        <w:numPr>
          <w:ilvl w:val="0"/>
          <w:numId w:val="2"/>
        </w:numPr>
        <w:spacing w:after="80" w:line="276" w:lineRule="auto"/>
        <w:jc w:val="both"/>
      </w:pPr>
      <w:r>
        <w:rPr>
          <w:b/>
          <w:bCs/>
        </w:rPr>
        <w:t>Optimización del corte y aprovechamiento del material</w:t>
      </w:r>
      <w:r>
        <w:t xml:space="preserve"> para maximizar el rendimiento de cada bloque/tabla y reducir desperdicio.</w:t>
      </w:r>
    </w:p>
    <w:p w:rsidR="00EB5054" w:rsidRDefault="00000000">
      <w:pPr>
        <w:pStyle w:val="Prrafodelista"/>
        <w:numPr>
          <w:ilvl w:val="0"/>
          <w:numId w:val="2"/>
        </w:numPr>
        <w:spacing w:after="80" w:line="276" w:lineRule="auto"/>
        <w:jc w:val="both"/>
      </w:pPr>
      <w:r>
        <w:rPr>
          <w:b/>
          <w:bCs/>
        </w:rPr>
        <w:t>Trazabilidad y gestión de inventario</w:t>
      </w:r>
      <w:r>
        <w:t xml:space="preserve"> de bloques y tablas, con identificación del material y su estado a lo largo del proceso.</w:t>
      </w:r>
    </w:p>
    <w:p w:rsidR="00EB5054" w:rsidRDefault="00000000">
      <w:pPr>
        <w:pStyle w:val="Prrafodelista"/>
        <w:numPr>
          <w:ilvl w:val="0"/>
          <w:numId w:val="2"/>
        </w:numPr>
        <w:spacing w:after="80" w:line="276" w:lineRule="auto"/>
        <w:jc w:val="both"/>
      </w:pPr>
      <w:r>
        <w:rPr>
          <w:b/>
          <w:bCs/>
        </w:rPr>
        <w:lastRenderedPageBreak/>
        <w:t>Previsión de demanda y de aprovisionamiento</w:t>
      </w:r>
      <w:r>
        <w:t xml:space="preserve"> considerando plazos de importación y estacionalidad.</w:t>
      </w:r>
    </w:p>
    <w:p w:rsidR="00EB5054" w:rsidRDefault="00000000">
      <w:pPr>
        <w:pStyle w:val="Prrafodelista"/>
        <w:numPr>
          <w:ilvl w:val="0"/>
          <w:numId w:val="2"/>
        </w:numPr>
        <w:spacing w:after="80" w:line="276" w:lineRule="auto"/>
        <w:jc w:val="both"/>
      </w:pPr>
      <w:r>
        <w:rPr>
          <w:b/>
          <w:bCs/>
        </w:rPr>
        <w:t>Asistentes documentales y de correo</w:t>
      </w:r>
      <w:r>
        <w:t xml:space="preserve"> para gestión de pedidos, albaranes, certificados de material y comunicación con proveedores internacionales.</w:t>
      </w:r>
    </w:p>
    <w:p w:rsidR="00EB5054" w:rsidRDefault="00000000">
      <w:pPr>
        <w:pStyle w:val="Prrafodelista"/>
        <w:numPr>
          <w:ilvl w:val="0"/>
          <w:numId w:val="2"/>
        </w:numPr>
        <w:spacing w:after="80" w:line="276" w:lineRule="auto"/>
        <w:jc w:val="both"/>
      </w:pPr>
      <w:r>
        <w:rPr>
          <w:b/>
          <w:bCs/>
        </w:rPr>
        <w:t>Catálogo inteligente y recomendación</w:t>
      </w:r>
      <w:r>
        <w:t xml:space="preserve"> que ayude al cliente a encontrar el material por similitud visual o características.</w:t>
      </w:r>
    </w:p>
    <w:p w:rsidR="00E55CAA" w:rsidRPr="00E55CAA" w:rsidRDefault="00E55CAA">
      <w:pPr>
        <w:pStyle w:val="Prrafodelista"/>
        <w:numPr>
          <w:ilvl w:val="0"/>
          <w:numId w:val="2"/>
        </w:numPr>
        <w:spacing w:after="80" w:line="276" w:lineRule="auto"/>
        <w:jc w:val="both"/>
      </w:pPr>
      <w:r>
        <w:rPr>
          <w:b/>
          <w:bCs/>
        </w:rPr>
        <w:t xml:space="preserve">Chatbots, asistentes o clientes de IA </w:t>
      </w:r>
      <w:r>
        <w:t>en modo conversacional que puedan interaccionar con la base de datos de la empresa para obtener datos históricos o extracciones de datos en consultas por texto o voz.</w:t>
      </w:r>
    </w:p>
    <w:p w:rsidR="00E55CAA" w:rsidRDefault="00E55CAA">
      <w:pPr>
        <w:pStyle w:val="Prrafodelista"/>
        <w:numPr>
          <w:ilvl w:val="0"/>
          <w:numId w:val="2"/>
        </w:numPr>
        <w:spacing w:after="80" w:line="276" w:lineRule="auto"/>
        <w:jc w:val="both"/>
      </w:pPr>
    </w:p>
    <w:p w:rsidR="00EB5054" w:rsidRDefault="00000000">
      <w:pPr>
        <w:pStyle w:val="Ttulo2"/>
      </w:pPr>
      <w:r>
        <w:t>4.3. Entregables de la Fase 1</w:t>
      </w:r>
    </w:p>
    <w:p w:rsidR="00EB5054" w:rsidRDefault="00000000">
      <w:pPr>
        <w:pStyle w:val="Prrafodelista"/>
        <w:numPr>
          <w:ilvl w:val="0"/>
          <w:numId w:val="2"/>
        </w:numPr>
        <w:spacing w:after="80" w:line="276" w:lineRule="auto"/>
        <w:jc w:val="both"/>
      </w:pPr>
      <w:r>
        <w:t>Informe de diagnóstico de madurez digital y de datos de DOLMEN.</w:t>
      </w:r>
    </w:p>
    <w:p w:rsidR="00EB5054" w:rsidRDefault="00000000">
      <w:pPr>
        <w:pStyle w:val="Prrafodelista"/>
        <w:numPr>
          <w:ilvl w:val="0"/>
          <w:numId w:val="2"/>
        </w:numPr>
        <w:spacing w:after="80" w:line="276" w:lineRule="auto"/>
        <w:jc w:val="both"/>
      </w:pPr>
      <w:r>
        <w:t>Catálogo de casos de uso de IA y automatización identificados.</w:t>
      </w:r>
    </w:p>
    <w:p w:rsidR="00EB5054" w:rsidRDefault="00000000">
      <w:pPr>
        <w:pStyle w:val="Prrafodelista"/>
        <w:numPr>
          <w:ilvl w:val="0"/>
          <w:numId w:val="2"/>
        </w:numPr>
        <w:spacing w:after="80" w:line="276" w:lineRule="auto"/>
        <w:jc w:val="both"/>
      </w:pPr>
      <w:r>
        <w:t>Hoja de ruta priorizada (impacto / esfuerzo) con recomendación de secuencia de implantación.</w:t>
      </w:r>
    </w:p>
    <w:p w:rsidR="00EB5054" w:rsidRDefault="00000000">
      <w:pPr>
        <w:pStyle w:val="Prrafodelista"/>
        <w:numPr>
          <w:ilvl w:val="0"/>
          <w:numId w:val="2"/>
        </w:numPr>
        <w:spacing w:after="80" w:line="276" w:lineRule="auto"/>
        <w:jc w:val="both"/>
      </w:pPr>
      <w:r>
        <w:t>Estimación orientativa de inversión y retorno esperado para los casos de uso prioritarios.</w:t>
      </w:r>
    </w:p>
    <w:p w:rsidR="00EB5054" w:rsidRDefault="00000000">
      <w:pPr>
        <w:pStyle w:val="Prrafodelista"/>
        <w:numPr>
          <w:ilvl w:val="0"/>
          <w:numId w:val="2"/>
        </w:numPr>
        <w:spacing w:after="80" w:line="276" w:lineRule="auto"/>
        <w:jc w:val="both"/>
      </w:pPr>
      <w:r>
        <w:t>Sesión de presentación de conclusiones a la dirección.</w:t>
      </w:r>
    </w:p>
    <w:p w:rsidR="00EB5054" w:rsidRPr="00917AE7" w:rsidRDefault="00000000">
      <w:pPr>
        <w:pStyle w:val="Ttulo1"/>
        <w:rPr>
          <w:color w:val="C00000"/>
        </w:rPr>
      </w:pPr>
      <w:r>
        <w:rPr>
          <w:color w:val="C00000"/>
        </w:rPr>
        <w:t>5. Fase 2 — Implantación de casos de uso</w:t>
      </w:r>
    </w:p>
    <w:p w:rsidR="00EB5054" w:rsidRDefault="00000000">
      <w:pPr>
        <w:spacing w:after="140" w:line="276" w:lineRule="auto"/>
        <w:jc w:val="both"/>
      </w:pPr>
      <w:r>
        <w:t>Concluido el diagnóstico, cada caso de uso priorizado se aborda como un proyecto independiente, formalizado en su propia Hoja de Encargo con alcance, entregables, plazo y precio cerrado o por bolsa de horas según convenga. Esto permite a DOLMEN avanzar caso a caso, comprobando resultados reales antes de comprometer la siguiente inversión, y reordenar prioridades si el negocio lo requiere.</w:t>
      </w:r>
    </w:p>
    <w:p w:rsidR="00EB5054" w:rsidRDefault="00000000">
      <w:pPr>
        <w:spacing w:after="140" w:line="276" w:lineRule="auto"/>
        <w:jc w:val="both"/>
      </w:pPr>
      <w:r>
        <w:t>El alcance y el orden concretos de esta fase se definirán a partir de las conclusiones de la Fase 1, por lo que no se detallan ni se presupuestan en este documento. Sí adelantamos que cada proyecto incluirá su correspondiente documentación técnica y formación al equipo de DOLMEN.</w:t>
      </w:r>
    </w:p>
    <w:p w:rsidR="00EB5054" w:rsidRPr="00917AE7" w:rsidRDefault="00000000">
      <w:pPr>
        <w:pStyle w:val="Ttulo1"/>
        <w:rPr>
          <w:color w:val="C00000"/>
        </w:rPr>
      </w:pPr>
      <w:r>
        <w:rPr>
          <w:color w:val="C00000"/>
        </w:rPr>
        <w:t>6. Fase 3 — Acompañamiento y mejora continua</w:t>
      </w:r>
    </w:p>
    <w:p w:rsidR="00EB5054" w:rsidRDefault="00000000">
      <w:pPr>
        <w:spacing w:after="140" w:line="276" w:lineRule="auto"/>
        <w:jc w:val="both"/>
      </w:pPr>
      <w:r>
        <w:t>Una vez hay soluciones en producción, proponemos un servicio recurrente de soporte, mantenimiento evolutivo y asesoramiento. Incluye la supervisión del correcto funcionamiento de los sistemas implantados, su mejora continua, y la actualización periódica de la hoja de ruta a medida que surgen nuevas oportunidades o cambia el negocio. Se formaliza mediante la adquisición de bolsas de horas profesionales.</w:t>
      </w:r>
    </w:p>
    <w:p w:rsidR="00EB5054" w:rsidRPr="00917AE7" w:rsidRDefault="00000000">
      <w:pPr>
        <w:pStyle w:val="Ttulo1"/>
        <w:rPr>
          <w:color w:val="C00000"/>
        </w:rPr>
      </w:pPr>
      <w:r>
        <w:rPr>
          <w:color w:val="C00000"/>
        </w:rPr>
        <w:t>7. Marco contractual propuesto</w:t>
      </w:r>
    </w:p>
    <w:p w:rsidR="00EB5054" w:rsidRDefault="00000000">
      <w:pPr>
        <w:spacing w:after="140" w:line="276" w:lineRule="auto"/>
        <w:jc w:val="both"/>
      </w:pPr>
      <w:r>
        <w:t>Proponemos articular la relación en dos niveles, lo que aporta agilidad y seguridad jurídica a ambas partes:</w:t>
      </w:r>
    </w:p>
    <w:p w:rsidR="00EB5054" w:rsidRDefault="00000000">
      <w:pPr>
        <w:pStyle w:val="Prrafodelista"/>
        <w:numPr>
          <w:ilvl w:val="0"/>
          <w:numId w:val="2"/>
        </w:numPr>
        <w:spacing w:after="80" w:line="276" w:lineRule="auto"/>
        <w:jc w:val="both"/>
      </w:pPr>
      <w:r>
        <w:rPr>
          <w:b/>
          <w:bCs/>
        </w:rPr>
        <w:lastRenderedPageBreak/>
        <w:t xml:space="preserve">Acuerdo Marco de Prestación de Servicios. </w:t>
      </w:r>
      <w:r>
        <w:t>Regula las condiciones estables de toda la colaboración: confidencialidad mutua, propiedad intelectual, protección de datos, niveles de responsabilidad, facturación, duración y terminación.</w:t>
      </w:r>
    </w:p>
    <w:p w:rsidR="00EB5054" w:rsidRDefault="00000000">
      <w:pPr>
        <w:pStyle w:val="Prrafodelista"/>
        <w:numPr>
          <w:ilvl w:val="0"/>
          <w:numId w:val="2"/>
        </w:numPr>
        <w:spacing w:after="80" w:line="276" w:lineRule="auto"/>
        <w:jc w:val="both"/>
      </w:pPr>
      <w:r>
        <w:rPr>
          <w:b/>
          <w:bCs/>
        </w:rPr>
        <w:t xml:space="preserve">Hojas de Encargo (Órdenes de Trabajo). </w:t>
      </w:r>
      <w:r>
        <w:t>Una por cada fase o proyecto, que se incorporan como anexos al Acuerdo Marco y detallan el alcance, los entregables, el calendario y el precio concretos. El diagnóstico de la Fase 1 es la primera Hoja de Encargo.</w:t>
      </w:r>
    </w:p>
    <w:p w:rsidR="00EB5054" w:rsidRDefault="00000000">
      <w:pPr>
        <w:spacing w:after="140" w:line="276" w:lineRule="auto"/>
        <w:jc w:val="both"/>
      </w:pPr>
      <w:r>
        <w:t>Junto al Acuerdo Marco se suscribirá, cuando proceda el tratamiento de datos personales por nuestra parte, el correspondiente Contrato de Encargo de Tratamiento conforme al artículo 28 del RGPD.</w:t>
      </w:r>
    </w:p>
    <w:p w:rsidR="00EB5054" w:rsidRDefault="00000000">
      <w:pPr>
        <w:pStyle w:val="Ttulo2"/>
      </w:pPr>
      <w:r>
        <w:t>7.1. Propiedad intelectual</w:t>
      </w:r>
    </w:p>
    <w:p w:rsidR="00EB5054" w:rsidRDefault="00000000">
      <w:pPr>
        <w:spacing w:after="140" w:line="276" w:lineRule="auto"/>
        <w:jc w:val="both"/>
      </w:pPr>
      <w:r>
        <w:t>El Acuerdo Marco distinguirá con claridad entre el conocimiento, herramientas y componentes preexistentes y reutilizables de Pumpún Dixital (que permanecen de nuestra titularidad y, en su caso, se licencian a DOLMEN para su uso) y los desarrollos realizados a medida específicamente para DOLMEN, cuya titularidad o licencia de uso se acordará en cada Hoja de Encargo.</w:t>
      </w:r>
    </w:p>
    <w:p w:rsidR="00EB5054" w:rsidRDefault="00000000">
      <w:pPr>
        <w:pStyle w:val="Ttulo2"/>
      </w:pPr>
      <w:r>
        <w:t>7.2. Protección de datos y seguridad</w:t>
      </w:r>
    </w:p>
    <w:p w:rsidR="00EB5054" w:rsidRDefault="00000000">
      <w:pPr>
        <w:spacing w:after="140" w:line="276" w:lineRule="auto"/>
        <w:jc w:val="both"/>
      </w:pPr>
      <w:r>
        <w:t>Todo el trabajo se realizará conforme al RGPD y a la normativa española aplicable, con las garantías de seguridad propias de una organización certificada en ENS Categoría Alta. Las herramientas de IA que se implanten se diseñarán bajo el principio de supervisión humana: sus resultados constituyen un apoyo a la decisión y requieren validación por parte del personal de DOLMEN, manteniéndose siempre las decisiones de negocio bajo control de la empresa.</w:t>
      </w:r>
    </w:p>
    <w:p w:rsidR="00EB5054" w:rsidRPr="00917AE7" w:rsidRDefault="00000000">
      <w:pPr>
        <w:pStyle w:val="Ttulo1"/>
        <w:rPr>
          <w:color w:val="C00000"/>
        </w:rPr>
      </w:pPr>
      <w:r>
        <w:rPr>
          <w:color w:val="C00000"/>
        </w:rPr>
        <w:t>8. Inversión</w:t>
      </w:r>
    </w:p>
    <w:p w:rsidR="00EB5054" w:rsidRDefault="00000000">
      <w:pPr>
        <w:spacing w:after="140" w:line="276" w:lineRule="auto"/>
        <w:jc w:val="both"/>
      </w:pPr>
      <w:r>
        <w:t>A continuación se detalla la estructura económica propuesta. Las cifras de la Fase 1 se cierran en esta propuesta; las de las fases siguientes se concretarán en sus respectivas Hojas de Encargo.</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3026"/>
        <w:gridCol w:w="2600"/>
      </w:tblGrid>
      <w:tr w:rsidR="00EB5054">
        <w:trPr>
          <w:tblHeader/>
        </w:trPr>
        <w:tc>
          <w:tcPr>
            <w:tcW w:w="3400" w:type="dxa"/>
            <w:tcBorders>
              <w:top w:val="single" w:sz="1" w:space="0" w:color="CCCCCC"/>
              <w:left w:val="single" w:sz="1" w:space="0" w:color="CCCCCC"/>
              <w:bottom w:val="single" w:sz="1" w:space="0" w:color="CCCCCC"/>
              <w:right w:val="single" w:sz="1" w:space="0" w:color="CCCCCC"/>
            </w:tcBorders>
            <w:shd w:val="clear" w:color="auto" w:fill="D5323D"/>
            <w:tcMar>
              <w:top w:w="90" w:type="dxa"/>
              <w:left w:w="140" w:type="dxa"/>
              <w:bottom w:w="90" w:type="dxa"/>
              <w:right w:w="140" w:type="dxa"/>
            </w:tcMar>
            <w:vAlign w:val="center"/>
          </w:tcPr>
          <w:p w:rsidR="00EB5054" w:rsidRDefault="00000000">
            <w:r>
              <w:rPr>
                <w:b/>
                <w:bCs/>
                <w:color w:val="FFFFFF"/>
                <w:sz w:val="20"/>
                <w:szCs w:val="20"/>
              </w:rPr>
              <w:t>Concepto</w:t>
            </w:r>
          </w:p>
        </w:tc>
        <w:tc>
          <w:tcPr>
            <w:tcW w:w="3026" w:type="dxa"/>
            <w:tcBorders>
              <w:top w:val="single" w:sz="1" w:space="0" w:color="CCCCCC"/>
              <w:left w:val="single" w:sz="1" w:space="0" w:color="CCCCCC"/>
              <w:bottom w:val="single" w:sz="1" w:space="0" w:color="CCCCCC"/>
              <w:right w:val="single" w:sz="1" w:space="0" w:color="CCCCCC"/>
            </w:tcBorders>
            <w:shd w:val="clear" w:color="auto" w:fill="D5323D"/>
            <w:tcMar>
              <w:top w:w="90" w:type="dxa"/>
              <w:left w:w="140" w:type="dxa"/>
              <w:bottom w:w="90" w:type="dxa"/>
              <w:right w:w="140" w:type="dxa"/>
            </w:tcMar>
            <w:vAlign w:val="center"/>
          </w:tcPr>
          <w:p w:rsidR="00EB5054" w:rsidRDefault="00000000">
            <w:r>
              <w:rPr>
                <w:b/>
                <w:bCs/>
                <w:color w:val="FFFFFF"/>
                <w:sz w:val="20"/>
                <w:szCs w:val="20"/>
              </w:rPr>
              <w:t>Modalidad</w:t>
            </w:r>
          </w:p>
        </w:tc>
        <w:tc>
          <w:tcPr>
            <w:tcW w:w="2600" w:type="dxa"/>
            <w:tcBorders>
              <w:top w:val="single" w:sz="1" w:space="0" w:color="CCCCCC"/>
              <w:left w:val="single" w:sz="1" w:space="0" w:color="CCCCCC"/>
              <w:bottom w:val="single" w:sz="1" w:space="0" w:color="CCCCCC"/>
              <w:right w:val="single" w:sz="1" w:space="0" w:color="CCCCCC"/>
            </w:tcBorders>
            <w:shd w:val="clear" w:color="auto" w:fill="D5323D"/>
            <w:tcMar>
              <w:top w:w="90" w:type="dxa"/>
              <w:left w:w="140" w:type="dxa"/>
              <w:bottom w:w="90" w:type="dxa"/>
              <w:right w:w="140" w:type="dxa"/>
            </w:tcMar>
            <w:vAlign w:val="center"/>
          </w:tcPr>
          <w:p w:rsidR="00EB5054" w:rsidRDefault="00000000">
            <w:r>
              <w:rPr>
                <w:b/>
                <w:bCs/>
                <w:color w:val="FFFFFF"/>
                <w:sz w:val="20"/>
                <w:szCs w:val="20"/>
              </w:rPr>
              <w:t>Importe (€, sin IVA)</w:t>
            </w:r>
          </w:p>
        </w:tc>
      </w:tr>
      <w:tr w:rsidR="00EB5054">
        <w:tc>
          <w:tcPr>
            <w:tcW w:w="34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b/>
                <w:bCs/>
                <w:sz w:val="20"/>
                <w:szCs w:val="20"/>
              </w:rPr>
              <w:t>Fase 1 — Diagnóstico y hoja de ruta</w:t>
            </w:r>
          </w:p>
        </w:tc>
        <w:tc>
          <w:tcPr>
            <w:tcW w:w="3026"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Precio cerrado</w:t>
            </w:r>
          </w:p>
        </w:tc>
        <w:tc>
          <w:tcPr>
            <w:tcW w:w="26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917AE7">
            <w:r>
              <w:rPr>
                <w:b/>
                <w:bCs/>
                <w:sz w:val="20"/>
                <w:szCs w:val="20"/>
              </w:rPr>
              <w:t>5.850 €</w:t>
            </w:r>
          </w:p>
        </w:tc>
      </w:tr>
      <w:tr w:rsidR="00EB5054">
        <w:tc>
          <w:tcPr>
            <w:tcW w:w="34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b/>
                <w:bCs/>
                <w:sz w:val="20"/>
                <w:szCs w:val="20"/>
              </w:rPr>
              <w:t>Fase 2 — Implantación</w:t>
            </w:r>
          </w:p>
        </w:tc>
        <w:tc>
          <w:tcPr>
            <w:tcW w:w="3026"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Por proyecto (Hoja de Encargo)</w:t>
            </w:r>
          </w:p>
        </w:tc>
        <w:tc>
          <w:tcPr>
            <w:tcW w:w="26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A determinar</w:t>
            </w:r>
          </w:p>
        </w:tc>
      </w:tr>
      <w:tr w:rsidR="00EB5054">
        <w:tc>
          <w:tcPr>
            <w:tcW w:w="34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b/>
                <w:bCs/>
                <w:sz w:val="20"/>
                <w:szCs w:val="20"/>
              </w:rPr>
              <w:t>Fase 3 — Acompañamiento</w:t>
            </w:r>
          </w:p>
        </w:tc>
        <w:tc>
          <w:tcPr>
            <w:tcW w:w="3026"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917AE7">
            <w:r>
              <w:rPr>
                <w:sz w:val="20"/>
                <w:szCs w:val="20"/>
              </w:rPr>
              <w:t>Bolsas de horas</w:t>
            </w:r>
          </w:p>
        </w:tc>
        <w:tc>
          <w:tcPr>
            <w:tcW w:w="26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917AE7">
            <w:r>
              <w:rPr>
                <w:sz w:val="20"/>
                <w:szCs w:val="20"/>
              </w:rPr>
              <w:t>44,5€/hora</w:t>
            </w:r>
          </w:p>
        </w:tc>
      </w:tr>
    </w:tbl>
    <w:p w:rsidR="00EB5054" w:rsidRDefault="00EB5054">
      <w:pPr>
        <w:spacing w:after="140" w:line="276" w:lineRule="auto"/>
        <w:jc w:val="both"/>
      </w:pPr>
    </w:p>
    <w:p w:rsidR="00EB5054" w:rsidRDefault="00000000">
      <w:pPr>
        <w:pStyle w:val="Prrafodelista"/>
        <w:numPr>
          <w:ilvl w:val="0"/>
          <w:numId w:val="2"/>
        </w:numPr>
        <w:spacing w:after="80" w:line="276" w:lineRule="auto"/>
        <w:jc w:val="both"/>
      </w:pPr>
      <w:r>
        <w:rPr>
          <w:b/>
          <w:bCs/>
        </w:rPr>
        <w:t xml:space="preserve">Bonificación por continuidad: </w:t>
      </w:r>
      <w:r>
        <w:t>si DOLMEN decide avanzar a la Fase 2, el 50% del importe de la Fase 1 se descontará del primer proyecto de implantación.</w:t>
      </w:r>
    </w:p>
    <w:p w:rsidR="00EB5054" w:rsidRDefault="00000000">
      <w:pPr>
        <w:pStyle w:val="Prrafodelista"/>
        <w:numPr>
          <w:ilvl w:val="0"/>
          <w:numId w:val="2"/>
        </w:numPr>
        <w:spacing w:after="80" w:line="276" w:lineRule="auto"/>
        <w:jc w:val="both"/>
      </w:pPr>
      <w:r>
        <w:t>Los importes no incluyen el IVA aplicable.</w:t>
      </w:r>
    </w:p>
    <w:p w:rsidR="00EB5054" w:rsidRDefault="00000000">
      <w:pPr>
        <w:pStyle w:val="Prrafodelista"/>
        <w:numPr>
          <w:ilvl w:val="0"/>
          <w:numId w:val="2"/>
        </w:numPr>
        <w:spacing w:after="80" w:line="276" w:lineRule="auto"/>
        <w:jc w:val="both"/>
      </w:pPr>
      <w:r>
        <w:t>Condiciones de pago de la Fase 1: 50 % a la firma de la Hoja de Encargo y 50 % a la entrega del informe.</w:t>
      </w:r>
    </w:p>
    <w:p w:rsidR="00EB5054" w:rsidRDefault="00000000">
      <w:pPr>
        <w:pStyle w:val="Prrafodelista"/>
        <w:numPr>
          <w:ilvl w:val="0"/>
          <w:numId w:val="2"/>
        </w:numPr>
        <w:spacing w:after="80" w:line="276" w:lineRule="auto"/>
        <w:jc w:val="both"/>
      </w:pPr>
      <w:r>
        <w:t>Validez de esta propuesta: 60 días naturales desde su fecha de emisión.</w:t>
      </w:r>
    </w:p>
    <w:p w:rsidR="00EB5054" w:rsidRPr="00917AE7" w:rsidRDefault="00000000">
      <w:pPr>
        <w:pStyle w:val="Ttulo1"/>
        <w:rPr>
          <w:color w:val="C00000"/>
        </w:rPr>
      </w:pPr>
      <w:r>
        <w:rPr>
          <w:color w:val="C00000"/>
        </w:rPr>
        <w:lastRenderedPageBreak/>
        <w:t>9. Calendario estimado de la Fase 1</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4826"/>
        <w:gridCol w:w="2000"/>
      </w:tblGrid>
      <w:tr w:rsidR="00EB5054">
        <w:trPr>
          <w:tblHeader/>
        </w:trPr>
        <w:tc>
          <w:tcPr>
            <w:tcW w:w="2200" w:type="dxa"/>
            <w:tcBorders>
              <w:top w:val="single" w:sz="1" w:space="0" w:color="CCCCCC"/>
              <w:left w:val="single" w:sz="1" w:space="0" w:color="CCCCCC"/>
              <w:bottom w:val="single" w:sz="1" w:space="0" w:color="CCCCCC"/>
              <w:right w:val="single" w:sz="1" w:space="0" w:color="CCCCCC"/>
            </w:tcBorders>
            <w:shd w:val="clear" w:color="auto" w:fill="D5323D"/>
            <w:tcMar>
              <w:top w:w="90" w:type="dxa"/>
              <w:left w:w="140" w:type="dxa"/>
              <w:bottom w:w="90" w:type="dxa"/>
              <w:right w:w="140" w:type="dxa"/>
            </w:tcMar>
            <w:vAlign w:val="center"/>
          </w:tcPr>
          <w:p w:rsidR="00EB5054" w:rsidRDefault="00000000">
            <w:r>
              <w:rPr>
                <w:b/>
                <w:bCs/>
                <w:color w:val="FFFFFF"/>
                <w:sz w:val="20"/>
                <w:szCs w:val="20"/>
              </w:rPr>
              <w:t>Semana</w:t>
            </w:r>
          </w:p>
        </w:tc>
        <w:tc>
          <w:tcPr>
            <w:tcW w:w="4826" w:type="dxa"/>
            <w:tcBorders>
              <w:top w:val="single" w:sz="1" w:space="0" w:color="CCCCCC"/>
              <w:left w:val="single" w:sz="1" w:space="0" w:color="CCCCCC"/>
              <w:bottom w:val="single" w:sz="1" w:space="0" w:color="CCCCCC"/>
              <w:right w:val="single" w:sz="1" w:space="0" w:color="CCCCCC"/>
            </w:tcBorders>
            <w:shd w:val="clear" w:color="auto" w:fill="D5323D"/>
            <w:tcMar>
              <w:top w:w="90" w:type="dxa"/>
              <w:left w:w="140" w:type="dxa"/>
              <w:bottom w:w="90" w:type="dxa"/>
              <w:right w:w="140" w:type="dxa"/>
            </w:tcMar>
            <w:vAlign w:val="center"/>
          </w:tcPr>
          <w:p w:rsidR="00EB5054" w:rsidRDefault="00000000">
            <w:r>
              <w:rPr>
                <w:b/>
                <w:bCs/>
                <w:color w:val="FFFFFF"/>
                <w:sz w:val="20"/>
                <w:szCs w:val="20"/>
              </w:rPr>
              <w:t>Actividad</w:t>
            </w:r>
          </w:p>
        </w:tc>
        <w:tc>
          <w:tcPr>
            <w:tcW w:w="2000" w:type="dxa"/>
            <w:tcBorders>
              <w:top w:val="single" w:sz="1" w:space="0" w:color="CCCCCC"/>
              <w:left w:val="single" w:sz="1" w:space="0" w:color="CCCCCC"/>
              <w:bottom w:val="single" w:sz="1" w:space="0" w:color="CCCCCC"/>
              <w:right w:val="single" w:sz="1" w:space="0" w:color="CCCCCC"/>
            </w:tcBorders>
            <w:shd w:val="clear" w:color="auto" w:fill="D5323D"/>
            <w:tcMar>
              <w:top w:w="90" w:type="dxa"/>
              <w:left w:w="140" w:type="dxa"/>
              <w:bottom w:w="90" w:type="dxa"/>
              <w:right w:w="140" w:type="dxa"/>
            </w:tcMar>
            <w:vAlign w:val="center"/>
          </w:tcPr>
          <w:p w:rsidR="00EB5054" w:rsidRDefault="00000000">
            <w:r>
              <w:rPr>
                <w:b/>
                <w:bCs/>
                <w:color w:val="FFFFFF"/>
                <w:sz w:val="20"/>
                <w:szCs w:val="20"/>
              </w:rPr>
              <w:t>Hito</w:t>
            </w:r>
          </w:p>
        </w:tc>
      </w:tr>
      <w:tr w:rsidR="00EB5054">
        <w:tc>
          <w:tcPr>
            <w:tcW w:w="2200" w:type="dxa"/>
            <w:tcBorders>
              <w:top w:val="single" w:sz="1" w:space="0" w:color="CCCCCC"/>
              <w:left w:val="single" w:sz="1" w:space="0" w:color="CCCCCC"/>
              <w:bottom w:val="single" w:sz="1" w:space="0" w:color="CCCCCC"/>
              <w:right w:val="single" w:sz="1" w:space="0" w:color="CCCCCC"/>
            </w:tcBorders>
            <w:shd w:val="clear" w:color="auto" w:fill="FBEAEB"/>
            <w:tcMar>
              <w:top w:w="90" w:type="dxa"/>
              <w:left w:w="140" w:type="dxa"/>
              <w:bottom w:w="90" w:type="dxa"/>
              <w:right w:w="140" w:type="dxa"/>
            </w:tcMar>
            <w:vAlign w:val="center"/>
          </w:tcPr>
          <w:p w:rsidR="00EB5054" w:rsidRDefault="00000000">
            <w:r>
              <w:rPr>
                <w:sz w:val="20"/>
                <w:szCs w:val="20"/>
              </w:rPr>
              <w:t>Semanas 1–2</w:t>
            </w:r>
          </w:p>
        </w:tc>
        <w:tc>
          <w:tcPr>
            <w:tcW w:w="4826"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Reunión de arranque, sesiones con áreas y recopilación de información</w:t>
            </w:r>
          </w:p>
        </w:tc>
        <w:tc>
          <w:tcPr>
            <w:tcW w:w="20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Kick-off</w:t>
            </w:r>
          </w:p>
        </w:tc>
      </w:tr>
      <w:tr w:rsidR="00EB5054">
        <w:tc>
          <w:tcPr>
            <w:tcW w:w="2200" w:type="dxa"/>
            <w:tcBorders>
              <w:top w:val="single" w:sz="1" w:space="0" w:color="CCCCCC"/>
              <w:left w:val="single" w:sz="1" w:space="0" w:color="CCCCCC"/>
              <w:bottom w:val="single" w:sz="1" w:space="0" w:color="CCCCCC"/>
              <w:right w:val="single" w:sz="1" w:space="0" w:color="CCCCCC"/>
            </w:tcBorders>
            <w:shd w:val="clear" w:color="auto" w:fill="FBEAEB"/>
            <w:tcMar>
              <w:top w:w="90" w:type="dxa"/>
              <w:left w:w="140" w:type="dxa"/>
              <w:bottom w:w="90" w:type="dxa"/>
              <w:right w:w="140" w:type="dxa"/>
            </w:tcMar>
            <w:vAlign w:val="center"/>
          </w:tcPr>
          <w:p w:rsidR="00EB5054" w:rsidRDefault="00000000">
            <w:r>
              <w:rPr>
                <w:sz w:val="20"/>
                <w:szCs w:val="20"/>
              </w:rPr>
              <w:t>Semanas 3–4</w:t>
            </w:r>
          </w:p>
        </w:tc>
        <w:tc>
          <w:tcPr>
            <w:tcW w:w="4826"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Análisis de procesos y datos; catalogación de casos de uso</w:t>
            </w:r>
          </w:p>
        </w:tc>
        <w:tc>
          <w:tcPr>
            <w:tcW w:w="20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Borrador de hallazgos</w:t>
            </w:r>
          </w:p>
        </w:tc>
      </w:tr>
      <w:tr w:rsidR="00EB5054">
        <w:tc>
          <w:tcPr>
            <w:tcW w:w="2200" w:type="dxa"/>
            <w:tcBorders>
              <w:top w:val="single" w:sz="1" w:space="0" w:color="CCCCCC"/>
              <w:left w:val="single" w:sz="1" w:space="0" w:color="CCCCCC"/>
              <w:bottom w:val="single" w:sz="1" w:space="0" w:color="CCCCCC"/>
              <w:right w:val="single" w:sz="1" w:space="0" w:color="CCCCCC"/>
            </w:tcBorders>
            <w:shd w:val="clear" w:color="auto" w:fill="FBEAEB"/>
            <w:tcMar>
              <w:top w:w="90" w:type="dxa"/>
              <w:left w:w="140" w:type="dxa"/>
              <w:bottom w:w="90" w:type="dxa"/>
              <w:right w:w="140" w:type="dxa"/>
            </w:tcMar>
            <w:vAlign w:val="center"/>
          </w:tcPr>
          <w:p w:rsidR="00EB5054" w:rsidRDefault="00000000">
            <w:r>
              <w:rPr>
                <w:sz w:val="20"/>
                <w:szCs w:val="20"/>
              </w:rPr>
              <w:t>Semanas 5–6</w:t>
            </w:r>
          </w:p>
        </w:tc>
        <w:tc>
          <w:tcPr>
            <w:tcW w:w="4826"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Priorización, elaboración de la hoja de ruta y presentación a dirección</w:t>
            </w:r>
          </w:p>
        </w:tc>
        <w:tc>
          <w:tcPr>
            <w:tcW w:w="2000"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vAlign w:val="center"/>
          </w:tcPr>
          <w:p w:rsidR="00EB5054" w:rsidRDefault="00000000">
            <w:r>
              <w:rPr>
                <w:sz w:val="20"/>
                <w:szCs w:val="20"/>
              </w:rPr>
              <w:t>Entrega final</w:t>
            </w:r>
          </w:p>
        </w:tc>
      </w:tr>
    </w:tbl>
    <w:p w:rsidR="00EB5054" w:rsidRPr="001000F5" w:rsidRDefault="00000000">
      <w:pPr>
        <w:pStyle w:val="Ttulo1"/>
        <w:rPr>
          <w:color w:val="C00000"/>
        </w:rPr>
      </w:pPr>
      <w:r w:rsidRPr="001000F5">
        <w:rPr>
          <w:color w:val="C00000"/>
        </w:rPr>
        <w:t>10. Próximos pasos</w:t>
      </w:r>
    </w:p>
    <w:p w:rsidR="00EB5054" w:rsidRDefault="00000000">
      <w:pPr>
        <w:pStyle w:val="Prrafodelista"/>
        <w:numPr>
          <w:ilvl w:val="0"/>
          <w:numId w:val="3"/>
        </w:numPr>
        <w:spacing w:after="80" w:line="276" w:lineRule="auto"/>
        <w:jc w:val="both"/>
      </w:pPr>
      <w:r>
        <w:t>Validación de esta propuesta por parte de DOLMEN.</w:t>
      </w:r>
    </w:p>
    <w:p w:rsidR="00EB5054" w:rsidRDefault="00000000">
      <w:pPr>
        <w:pStyle w:val="Prrafodelista"/>
        <w:numPr>
          <w:ilvl w:val="0"/>
          <w:numId w:val="3"/>
        </w:numPr>
        <w:spacing w:after="80" w:line="276" w:lineRule="auto"/>
        <w:jc w:val="both"/>
      </w:pPr>
      <w:r>
        <w:t>Firma del Acuerdo Marco de Prestación de Servicios y de la Hoja de Encargo de la Fase 1.</w:t>
      </w:r>
    </w:p>
    <w:p w:rsidR="00EB5054" w:rsidRDefault="00000000">
      <w:pPr>
        <w:pStyle w:val="Prrafodelista"/>
        <w:numPr>
          <w:ilvl w:val="0"/>
          <w:numId w:val="3"/>
        </w:numPr>
        <w:spacing w:after="80" w:line="276" w:lineRule="auto"/>
        <w:jc w:val="both"/>
      </w:pPr>
      <w:r>
        <w:t>Reunión de arranque (kick-off) y planificación de las sesiones de trabajo.</w:t>
      </w:r>
    </w:p>
    <w:p w:rsidR="00EB5054" w:rsidRDefault="00000000">
      <w:pPr>
        <w:pStyle w:val="Prrafodelista"/>
        <w:numPr>
          <w:ilvl w:val="0"/>
          <w:numId w:val="3"/>
        </w:numPr>
        <w:spacing w:after="80" w:line="276" w:lineRule="auto"/>
        <w:jc w:val="both"/>
      </w:pPr>
      <w:r>
        <w:t>Ejecución del diagnóstico conforme al calendario anterior.</w:t>
      </w:r>
    </w:p>
    <w:p w:rsidR="00EB5054" w:rsidRPr="001000F5" w:rsidRDefault="00000000">
      <w:pPr>
        <w:pStyle w:val="Ttulo1"/>
        <w:rPr>
          <w:color w:val="C00000"/>
        </w:rPr>
      </w:pPr>
      <w:r w:rsidRPr="001000F5">
        <w:rPr>
          <w:color w:val="C00000"/>
        </w:rPr>
        <w:t>11. Conformidad</w:t>
      </w:r>
    </w:p>
    <w:p w:rsidR="00EB5054" w:rsidRDefault="00000000">
      <w:pPr>
        <w:spacing w:after="140" w:line="276" w:lineRule="auto"/>
        <w:jc w:val="both"/>
      </w:pPr>
      <w:r>
        <w:t>En prueba de conformidad con el contenido de esta propuesta y para dar inicio a la colaboración descrita, firman ambas partes:</w:t>
      </w:r>
    </w:p>
    <w:p w:rsidR="00EB5054" w:rsidRDefault="00EB5054">
      <w:pPr>
        <w:spacing w:after="140" w:line="276" w:lineRule="auto"/>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EB5054">
        <w:tc>
          <w:tcPr>
            <w:tcW w:w="4513"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tcPr>
          <w:p w:rsidR="00EB5054" w:rsidRDefault="00000000">
            <w:pPr>
              <w:spacing w:after="60"/>
            </w:pPr>
            <w:r>
              <w:rPr>
                <w:b/>
                <w:bCs/>
                <w:sz w:val="20"/>
                <w:szCs w:val="20"/>
              </w:rPr>
              <w:t>Por Pumpún Dixital, S.L.</w:t>
            </w:r>
          </w:p>
          <w:p w:rsidR="00EB5054" w:rsidRDefault="00000000">
            <w:pPr>
              <w:spacing w:before="700"/>
            </w:pPr>
            <w:r>
              <w:rPr>
                <w:sz w:val="20"/>
                <w:szCs w:val="20"/>
              </w:rPr>
              <w:t>Nombre: ____________________</w:t>
            </w:r>
          </w:p>
          <w:p w:rsidR="00EB5054" w:rsidRDefault="00000000">
            <w:r>
              <w:rPr>
                <w:sz w:val="20"/>
                <w:szCs w:val="20"/>
              </w:rPr>
              <w:t>Cargo: ____________________</w:t>
            </w:r>
          </w:p>
          <w:p w:rsidR="00EB5054" w:rsidRDefault="00000000">
            <w:r>
              <w:rPr>
                <w:sz w:val="20"/>
                <w:szCs w:val="20"/>
              </w:rPr>
              <w:t>Fecha: ____________________</w:t>
            </w:r>
          </w:p>
        </w:tc>
        <w:tc>
          <w:tcPr>
            <w:tcW w:w="4513" w:type="dxa"/>
            <w:tcBorders>
              <w:top w:val="single" w:sz="1" w:space="0" w:color="CCCCCC"/>
              <w:left w:val="single" w:sz="1" w:space="0" w:color="CCCCCC"/>
              <w:bottom w:val="single" w:sz="1" w:space="0" w:color="CCCCCC"/>
              <w:right w:val="single" w:sz="1" w:space="0" w:color="CCCCCC"/>
            </w:tcBorders>
            <w:tcMar>
              <w:top w:w="90" w:type="dxa"/>
              <w:left w:w="140" w:type="dxa"/>
              <w:bottom w:w="90" w:type="dxa"/>
              <w:right w:w="140" w:type="dxa"/>
            </w:tcMar>
          </w:tcPr>
          <w:p w:rsidR="00EB5054" w:rsidRDefault="00000000">
            <w:pPr>
              <w:spacing w:after="60"/>
            </w:pPr>
            <w:r>
              <w:rPr>
                <w:b/>
                <w:bCs/>
                <w:sz w:val="20"/>
                <w:szCs w:val="20"/>
              </w:rPr>
              <w:t>Por DOLMEN Granitos y Mármoles, S.L.</w:t>
            </w:r>
          </w:p>
          <w:p w:rsidR="00EB5054" w:rsidRDefault="00000000">
            <w:pPr>
              <w:spacing w:before="700"/>
            </w:pPr>
            <w:r>
              <w:rPr>
                <w:sz w:val="20"/>
                <w:szCs w:val="20"/>
              </w:rPr>
              <w:t>Nombre: ____________________</w:t>
            </w:r>
          </w:p>
          <w:p w:rsidR="00EB5054" w:rsidRDefault="00000000">
            <w:r>
              <w:rPr>
                <w:sz w:val="20"/>
                <w:szCs w:val="20"/>
              </w:rPr>
              <w:t>Cargo: ____________________</w:t>
            </w:r>
          </w:p>
          <w:p w:rsidR="00EB5054" w:rsidRDefault="00000000">
            <w:r>
              <w:rPr>
                <w:sz w:val="20"/>
                <w:szCs w:val="20"/>
              </w:rPr>
              <w:t>Fecha: ____________________</w:t>
            </w:r>
          </w:p>
        </w:tc>
      </w:tr>
    </w:tbl>
    <w:p w:rsidR="00EB5054" w:rsidRDefault="00EB5054">
      <w:pPr>
        <w:spacing w:after="140" w:line="276" w:lineRule="auto"/>
        <w:jc w:val="both"/>
      </w:pPr>
    </w:p>
    <w:p w:rsidR="00EB5054" w:rsidRDefault="00000000">
      <w:pPr>
        <w:spacing w:before="200"/>
      </w:pPr>
      <w:r>
        <w:rPr>
          <w:color w:val="595959"/>
          <w:sz w:val="16"/>
          <w:szCs w:val="16"/>
        </w:rPr>
        <w:t>Pumpún Dixital, S.L. · Vigo · Madrid · Certificación ENS Categoría Alta</w:t>
      </w:r>
    </w:p>
    <w:sectPr w:rsidR="00EB5054">
      <w:headerReference w:type="default" r:id="rId7"/>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1DF9" w:rsidRDefault="00711DF9">
      <w:r>
        <w:separator/>
      </w:r>
    </w:p>
  </w:endnote>
  <w:endnote w:type="continuationSeparator" w:id="0">
    <w:p w:rsidR="00711DF9" w:rsidRDefault="0071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B5054" w:rsidRDefault="00000000">
    <w:pPr>
      <w:pBdr>
        <w:top w:val="single" w:sz="4" w:space="4" w:color="DDDDDD"/>
      </w:pBdr>
      <w:tabs>
        <w:tab w:val="right" w:pos="9026"/>
      </w:tabs>
    </w:pPr>
    <w:r>
      <w:rPr>
        <w:color w:val="595959"/>
        <w:sz w:val="15"/>
        <w:szCs w:val="15"/>
      </w:rPr>
      <w:t>Documento confidencial · PD-CONS-2026-DOLMEN-01</w:t>
    </w:r>
    <w:r>
      <w:rPr>
        <w:color w:val="595959"/>
        <w:sz w:val="15"/>
        <w:szCs w:val="15"/>
      </w:rPr>
      <w:tab/>
      <w:t xml:space="preserve">Página </w:t>
    </w:r>
    <w:r>
      <w:rPr>
        <w:color w:val="595959"/>
        <w:sz w:val="15"/>
        <w:szCs w:val="15"/>
      </w:rPr>
      <w:fldChar w:fldCharType="begin"/>
    </w:r>
    <w:r>
      <w:rPr>
        <w:color w:val="595959"/>
        <w:sz w:val="15"/>
        <w:szCs w:val="15"/>
      </w:rPr>
      <w:instrText>PAGE</w:instrText>
    </w:r>
    <w:r>
      <w:rPr>
        <w:color w:val="595959"/>
        <w:sz w:val="15"/>
        <w:szCs w:val="15"/>
      </w:rPr>
      <w:fldChar w:fldCharType="separate"/>
    </w:r>
    <w:r w:rsidR="00AC519A">
      <w:rPr>
        <w:noProof/>
        <w:color w:val="595959"/>
        <w:sz w:val="15"/>
        <w:szCs w:val="15"/>
      </w:rPr>
      <w:t>2</w:t>
    </w:r>
    <w:r>
      <w:rPr>
        <w:color w:val="595959"/>
        <w:sz w:val="15"/>
        <w:szCs w:val="15"/>
      </w:rPr>
      <w:fldChar w:fldCharType="end"/>
    </w:r>
    <w:r>
      <w:rPr>
        <w:color w:val="595959"/>
        <w:sz w:val="15"/>
        <w:szCs w:val="15"/>
      </w:rPr>
      <w:t xml:space="preserve"> de </w:t>
    </w:r>
    <w:r>
      <w:rPr>
        <w:color w:val="595959"/>
        <w:sz w:val="15"/>
        <w:szCs w:val="15"/>
      </w:rPr>
      <w:fldChar w:fldCharType="begin"/>
    </w:r>
    <w:r>
      <w:rPr>
        <w:color w:val="595959"/>
        <w:sz w:val="15"/>
        <w:szCs w:val="15"/>
      </w:rPr>
      <w:instrText>NUMPAGES</w:instrText>
    </w:r>
    <w:r>
      <w:rPr>
        <w:color w:val="595959"/>
        <w:sz w:val="15"/>
        <w:szCs w:val="15"/>
      </w:rPr>
      <w:fldChar w:fldCharType="separate"/>
    </w:r>
    <w:r w:rsidR="00AC519A">
      <w:rPr>
        <w:noProof/>
        <w:color w:val="595959"/>
        <w:sz w:val="15"/>
        <w:szCs w:val="15"/>
      </w:rPr>
      <w:t>3</w:t>
    </w:r>
    <w:r>
      <w:rPr>
        <w:color w:val="595959"/>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1DF9" w:rsidRDefault="00711DF9">
      <w:r>
        <w:separator/>
      </w:r>
    </w:p>
  </w:footnote>
  <w:footnote w:type="continuationSeparator" w:id="0">
    <w:p w:rsidR="00711DF9" w:rsidRDefault="00711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B5054" w:rsidRDefault="00000000">
    <w:pPr>
      <w:pBdr>
        <w:bottom w:val="single" w:sz="4" w:space="4" w:color="DDDDDD"/>
      </w:pBdr>
      <w:tabs>
        <w:tab w:val="right" w:pos="9026"/>
      </w:tabs>
    </w:pPr>
    <w:proofErr w:type="spellStart"/>
    <w:r>
      <w:rPr>
        <w:b/>
        <w:bCs/>
        <w:color w:val="595959"/>
        <w:sz w:val="16"/>
        <w:szCs w:val="16"/>
      </w:rPr>
      <w:t>Pumpún</w:t>
    </w:r>
    <w:proofErr w:type="spellEnd"/>
    <w:r>
      <w:rPr>
        <w:b/>
        <w:bCs/>
        <w:color w:val="595959"/>
        <w:sz w:val="16"/>
        <w:szCs w:val="16"/>
      </w:rPr>
      <w:t xml:space="preserve"> </w:t>
    </w:r>
    <w:proofErr w:type="spellStart"/>
    <w:r>
      <w:rPr>
        <w:b/>
        <w:bCs/>
        <w:color w:val="595959"/>
        <w:sz w:val="16"/>
        <w:szCs w:val="16"/>
      </w:rPr>
      <w:t>Dixital</w:t>
    </w:r>
    <w:proofErr w:type="spellEnd"/>
    <w:r>
      <w:rPr>
        <w:b/>
        <w:bCs/>
        <w:color w:val="595959"/>
        <w:sz w:val="16"/>
        <w:szCs w:val="16"/>
      </w:rPr>
      <w:t xml:space="preserve"> S.L.</w:t>
    </w:r>
    <w:r>
      <w:rPr>
        <w:color w:val="595959"/>
        <w:sz w:val="16"/>
        <w:szCs w:val="16"/>
      </w:rPr>
      <w:tab/>
      <w:t>Propuesta de consultoría en IA — DOLMEN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6ACE"/>
    <w:multiLevelType w:val="hybridMultilevel"/>
    <w:tmpl w:val="68923878"/>
    <w:lvl w:ilvl="0" w:tplc="A1523A54">
      <w:start w:val="1"/>
      <w:numFmt w:val="bullet"/>
      <w:lvlText w:val="●"/>
      <w:lvlJc w:val="left"/>
      <w:pPr>
        <w:ind w:left="720" w:hanging="360"/>
      </w:pPr>
    </w:lvl>
    <w:lvl w:ilvl="1" w:tplc="3A5C5092">
      <w:start w:val="1"/>
      <w:numFmt w:val="bullet"/>
      <w:lvlText w:val="○"/>
      <w:lvlJc w:val="left"/>
      <w:pPr>
        <w:ind w:left="1440" w:hanging="360"/>
      </w:pPr>
    </w:lvl>
    <w:lvl w:ilvl="2" w:tplc="70841BC2">
      <w:start w:val="1"/>
      <w:numFmt w:val="bullet"/>
      <w:lvlText w:val="■"/>
      <w:lvlJc w:val="left"/>
      <w:pPr>
        <w:ind w:left="2160" w:hanging="360"/>
      </w:pPr>
    </w:lvl>
    <w:lvl w:ilvl="3" w:tplc="3BCA0706">
      <w:start w:val="1"/>
      <w:numFmt w:val="bullet"/>
      <w:lvlText w:val="●"/>
      <w:lvlJc w:val="left"/>
      <w:pPr>
        <w:ind w:left="2880" w:hanging="360"/>
      </w:pPr>
    </w:lvl>
    <w:lvl w:ilvl="4" w:tplc="D5E2D55E">
      <w:start w:val="1"/>
      <w:numFmt w:val="bullet"/>
      <w:lvlText w:val="○"/>
      <w:lvlJc w:val="left"/>
      <w:pPr>
        <w:ind w:left="3600" w:hanging="360"/>
      </w:pPr>
    </w:lvl>
    <w:lvl w:ilvl="5" w:tplc="0E1A6406">
      <w:start w:val="1"/>
      <w:numFmt w:val="bullet"/>
      <w:lvlText w:val="■"/>
      <w:lvlJc w:val="left"/>
      <w:pPr>
        <w:ind w:left="4320" w:hanging="360"/>
      </w:pPr>
    </w:lvl>
    <w:lvl w:ilvl="6" w:tplc="D5082EF0">
      <w:start w:val="1"/>
      <w:numFmt w:val="bullet"/>
      <w:lvlText w:val="●"/>
      <w:lvlJc w:val="left"/>
      <w:pPr>
        <w:ind w:left="5040" w:hanging="360"/>
      </w:pPr>
    </w:lvl>
    <w:lvl w:ilvl="7" w:tplc="15ACD4E4">
      <w:start w:val="1"/>
      <w:numFmt w:val="bullet"/>
      <w:lvlText w:val="●"/>
      <w:lvlJc w:val="left"/>
      <w:pPr>
        <w:ind w:left="5760" w:hanging="360"/>
      </w:pPr>
    </w:lvl>
    <w:lvl w:ilvl="8" w:tplc="ABE2722C">
      <w:start w:val="1"/>
      <w:numFmt w:val="bullet"/>
      <w:lvlText w:val="●"/>
      <w:lvlJc w:val="left"/>
      <w:pPr>
        <w:ind w:left="6480" w:hanging="360"/>
      </w:pPr>
    </w:lvl>
  </w:abstractNum>
  <w:abstractNum w:abstractNumId="1" w15:restartNumberingAfterBreak="0">
    <w:nsid w:val="2A9F4BAF"/>
    <w:multiLevelType w:val="hybridMultilevel"/>
    <w:tmpl w:val="99BAE756"/>
    <w:lvl w:ilvl="0" w:tplc="6360C93C">
      <w:start w:val="1"/>
      <w:numFmt w:val="decimal"/>
      <w:lvlText w:val="%1."/>
      <w:lvlJc w:val="left"/>
      <w:pPr>
        <w:ind w:left="460" w:hanging="260"/>
      </w:pPr>
    </w:lvl>
    <w:lvl w:ilvl="1" w:tplc="8AD4792E">
      <w:numFmt w:val="decimal"/>
      <w:lvlText w:val=""/>
      <w:lvlJc w:val="left"/>
    </w:lvl>
    <w:lvl w:ilvl="2" w:tplc="55285C86">
      <w:numFmt w:val="decimal"/>
      <w:lvlText w:val=""/>
      <w:lvlJc w:val="left"/>
    </w:lvl>
    <w:lvl w:ilvl="3" w:tplc="ED242410">
      <w:numFmt w:val="decimal"/>
      <w:lvlText w:val=""/>
      <w:lvlJc w:val="left"/>
    </w:lvl>
    <w:lvl w:ilvl="4" w:tplc="FC48F8E6">
      <w:numFmt w:val="decimal"/>
      <w:lvlText w:val=""/>
      <w:lvlJc w:val="left"/>
    </w:lvl>
    <w:lvl w:ilvl="5" w:tplc="3DB00000">
      <w:numFmt w:val="decimal"/>
      <w:lvlText w:val=""/>
      <w:lvlJc w:val="left"/>
    </w:lvl>
    <w:lvl w:ilvl="6" w:tplc="6C8CB8AC">
      <w:numFmt w:val="decimal"/>
      <w:lvlText w:val=""/>
      <w:lvlJc w:val="left"/>
    </w:lvl>
    <w:lvl w:ilvl="7" w:tplc="3A1A6808">
      <w:numFmt w:val="decimal"/>
      <w:lvlText w:val=""/>
      <w:lvlJc w:val="left"/>
    </w:lvl>
    <w:lvl w:ilvl="8" w:tplc="97BA50A8">
      <w:numFmt w:val="decimal"/>
      <w:lvlText w:val=""/>
      <w:lvlJc w:val="left"/>
    </w:lvl>
  </w:abstractNum>
  <w:abstractNum w:abstractNumId="2" w15:restartNumberingAfterBreak="0">
    <w:nsid w:val="428C2CA3"/>
    <w:multiLevelType w:val="hybridMultilevel"/>
    <w:tmpl w:val="5CFA6EBC"/>
    <w:lvl w:ilvl="0" w:tplc="9D5E96BE">
      <w:start w:val="1"/>
      <w:numFmt w:val="bullet"/>
      <w:lvlText w:val="•"/>
      <w:lvlJc w:val="left"/>
      <w:pPr>
        <w:ind w:left="460" w:hanging="260"/>
      </w:pPr>
      <w:rPr>
        <w:color w:val="1F9D55"/>
      </w:rPr>
    </w:lvl>
    <w:lvl w:ilvl="1" w:tplc="9112F348">
      <w:numFmt w:val="decimal"/>
      <w:lvlText w:val=""/>
      <w:lvlJc w:val="left"/>
    </w:lvl>
    <w:lvl w:ilvl="2" w:tplc="D50A780C">
      <w:numFmt w:val="decimal"/>
      <w:lvlText w:val=""/>
      <w:lvlJc w:val="left"/>
    </w:lvl>
    <w:lvl w:ilvl="3" w:tplc="D8ACE504">
      <w:numFmt w:val="decimal"/>
      <w:lvlText w:val=""/>
      <w:lvlJc w:val="left"/>
    </w:lvl>
    <w:lvl w:ilvl="4" w:tplc="8F16A3C0">
      <w:numFmt w:val="decimal"/>
      <w:lvlText w:val=""/>
      <w:lvlJc w:val="left"/>
    </w:lvl>
    <w:lvl w:ilvl="5" w:tplc="7FF2FBB8">
      <w:numFmt w:val="decimal"/>
      <w:lvlText w:val=""/>
      <w:lvlJc w:val="left"/>
    </w:lvl>
    <w:lvl w:ilvl="6" w:tplc="438E2CA8">
      <w:numFmt w:val="decimal"/>
      <w:lvlText w:val=""/>
      <w:lvlJc w:val="left"/>
    </w:lvl>
    <w:lvl w:ilvl="7" w:tplc="9E84AF36">
      <w:numFmt w:val="decimal"/>
      <w:lvlText w:val=""/>
      <w:lvlJc w:val="left"/>
    </w:lvl>
    <w:lvl w:ilvl="8" w:tplc="310C1AB6">
      <w:numFmt w:val="decimal"/>
      <w:lvlText w:val=""/>
      <w:lvlJc w:val="left"/>
    </w:lvl>
  </w:abstractNum>
  <w:num w:numId="1" w16cid:durableId="342979124">
    <w:abstractNumId w:val="0"/>
    <w:lvlOverride w:ilvl="0">
      <w:startOverride w:val="1"/>
    </w:lvlOverride>
  </w:num>
  <w:num w:numId="2" w16cid:durableId="2146583687">
    <w:abstractNumId w:val="2"/>
    <w:lvlOverride w:ilvl="0">
      <w:startOverride w:val="1"/>
    </w:lvlOverride>
  </w:num>
  <w:num w:numId="3" w16cid:durableId="101345746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054"/>
    <w:rsid w:val="001000F5"/>
    <w:rsid w:val="00341795"/>
    <w:rsid w:val="00354973"/>
    <w:rsid w:val="00711DF9"/>
    <w:rsid w:val="00917AE7"/>
    <w:rsid w:val="00AC519A"/>
    <w:rsid w:val="00E55CAA"/>
    <w:rsid w:val="00EB505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docId w15:val="{8B11175B-6B07-DC47-8064-477CC8F0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color w:val="1A1A1A"/>
        <w:sz w:val="22"/>
        <w:szCs w:val="22"/>
        <w:lang w:val="es-ES"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pBdr>
        <w:bottom w:val="single" w:sz="6" w:space="6" w:color="1F9D55"/>
      </w:pBdr>
      <w:spacing w:before="320" w:after="160"/>
      <w:outlineLvl w:val="0"/>
    </w:pPr>
    <w:rPr>
      <w:b/>
      <w:bCs/>
      <w:color w:val="1F9D55"/>
      <w:sz w:val="30"/>
      <w:szCs w:val="30"/>
    </w:rPr>
  </w:style>
  <w:style w:type="paragraph" w:styleId="Ttulo2">
    <w:name w:val="heading 2"/>
    <w:uiPriority w:val="9"/>
    <w:unhideWhenUsed/>
    <w:qFormat/>
    <w:pPr>
      <w:spacing w:before="220" w:after="110"/>
      <w:outlineLvl w:val="1"/>
    </w:pPr>
    <w:rPr>
      <w:b/>
      <w:bCs/>
      <w:sz w:val="24"/>
      <w:szCs w:val="24"/>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Textoennegrita1">
    <w:name w:val="Texto en negrita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rPr>
      <w:sz w:val="20"/>
      <w:szCs w:val="20"/>
    </w:rPr>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rPr>
      <w:sz w:val="20"/>
      <w:szCs w:val="20"/>
    </w:rPr>
  </w:style>
  <w:style w:type="character" w:customStyle="1" w:styleId="TextonotaalfinalCar">
    <w:name w:val="Texto nota al final Car"/>
    <w:link w:val="Textonotaalfinal"/>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1710</Words>
  <Characters>9405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Propuesta de servicios de consultoría en IA — DOLMEN Granitos y Mármoles, S.L.</vt:lpstr>
    </vt:vector>
  </TitlesOfParts>
  <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de servicios de consultoría en IA — DOLMEN Granitos y Mármoles, S.L.</dc:title>
  <dc:creator>Pumpún Dixital S.L.</dc:creator>
  <cp:lastModifiedBy>José Carlos García Sánchez</cp:lastModifiedBy>
  <cp:revision>3</cp:revision>
  <dcterms:created xsi:type="dcterms:W3CDTF">2026-06-30T07:57:00Z</dcterms:created>
  <dcterms:modified xsi:type="dcterms:W3CDTF">2026-06-30T09:42:00Z</dcterms:modified>
</cp:coreProperties>
</file>