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200"/>
        <w:jc w:val="center"/>
      </w:pPr>
      <w:r>
        <w:rPr>
          <w:b/>
          <w:bCs/>
          <w:color w:val="1A1A1A"/>
          <w:sz w:val="32"/>
          <w:szCs w:val="32"/>
        </w:rPr>
        <w:t xml:space="preserve">ACUERDO MARCO DE PRESTACIÓN DE SERVICIOS</w:t>
      </w:r>
    </w:p>
    <w:p>
      <w:pPr>
        <w:spacing w:after="60"/>
        <w:jc w:val="center"/>
      </w:pPr>
      <w:r>
        <w:rPr>
          <w:color w:val="595959"/>
          <w:sz w:val="22"/>
          <w:szCs w:val="22"/>
        </w:rPr>
        <w:t xml:space="preserve">Consultoría e implantación de Inteligencia Artificial y automatización de procesos</w:t>
      </w:r>
    </w:p>
    <w:p>
      <w:pPr>
        <w:pBdr>
          <w:bottom w:val="single" w:color="D5323D" w:sz="8" w:space="8"/>
        </w:pBdr>
        <w:spacing w:after="200"/>
        <w:jc w:val="center"/>
      </w:pPr>
      <w:r>
        <w:rPr>
          <w:sz w:val="4"/>
          <w:szCs w:val="4"/>
        </w:rPr>
        <w:t xml:space="preserve"/>
      </w:r>
    </w:p>
    <w:p>
      <w:pPr>
        <w:spacing w:after="240"/>
        <w:jc w:val="center"/>
      </w:pPr>
      <w:r>
        <w:rPr>
          <w:sz w:val="22"/>
          <w:szCs w:val="22"/>
        </w:rPr>
        <w:t xml:space="preserve">En Vigo, a ____ de ________________ de 2026</w:t>
      </w:r>
    </w:p>
    <w:p>
      <w:pPr>
        <w:pStyle w:val="Heading1"/>
      </w:pPr>
      <w:r>
        <w:t xml:space="preserve">Reunidos</w:t>
      </w:r>
    </w:p>
    <w:p>
      <w:pPr>
        <w:spacing w:after="140" w:line="276"/>
        <w:jc w:val="both"/>
      </w:pPr>
      <w:r>
        <w:t xml:space="preserve">De una parte, D. José Carlos García Sánchez, mayor de edad, con D.N.I. nº 76710308H, en nombre y representación de PUMPÚN DIXITAL, S.L. (en adelante, «Pumpún» o «el Prestador»), sociedad de nacionalidad española con domicilio social en Calle Marqués de Valladares, 14, 4-11, 36201 Vigo (Pontevedra) y provista de C.I.F. nº B27757723, en su condición de ____________________, con facultades suficientes para este acto.</w:t>
      </w:r>
    </w:p>
    <w:p>
      <w:pPr>
        <w:spacing w:after="140" w:line="276"/>
        <w:jc w:val="both"/>
      </w:pPr>
      <w:r>
        <w:t xml:space="preserve">Y de otra parte, D. David Fernández Sanromán, mayor de edad, con D.N.I. nº 36106736W, y Dª. María Noelia Santomé Iglesias, mayor de edad, con D.N.I. nº 36118934X, actuando ambos conjuntamente en nombre y representación de DOLMEN GRANITOS Y MÁRMOLES, S.L. (en adelante, «DOLMEN» o «el Cliente»), sociedad de nacionalidad española con domicilio social en Calle Pontevedra, 4, 4º, 36201 Vigo (Pontevedra) y provista de C.I.F. nº B36853935, en su condición de ____________________, con facultades suficientes para este acto.</w:t>
      </w:r>
    </w:p>
    <w:p>
      <w:pPr>
        <w:spacing w:after="140" w:line="276"/>
        <w:jc w:val="both"/>
      </w:pPr>
      <w:r>
        <w:t xml:space="preserve">Ambas partes, en la representación que ostentan, se reconocen mutuamente capacidad legal suficiente para obligarse y otorgar el presente Acuerdo Marco (en adelante, «el Acuerdo»), y a tal efecto</w:t>
      </w:r>
    </w:p>
    <w:p>
      <w:pPr>
        <w:pStyle w:val="Heading1"/>
      </w:pPr>
      <w:r>
        <w:t xml:space="preserve">Exponen</w:t>
      </w:r>
    </w:p>
    <w:p>
      <w:pPr>
        <w:spacing w:after="120" w:line="276"/>
        <w:jc w:val="both"/>
      </w:pPr>
      <w:r>
        <w:rPr>
          <w:b/>
          <w:bCs/>
        </w:rPr>
        <w:t xml:space="preserve">I. </w:t>
      </w:r>
      <w:r>
        <w:t xml:space="preserve">Que Pumpún es una compañía especializada en software, servicios gestionados, inteligencia artificial y automatización de procesos, que opera bajo certificación del Esquema Nacional de Seguridad (ENS) en Categoría Alta.</w:t>
      </w:r>
    </w:p>
    <w:p>
      <w:pPr>
        <w:spacing w:after="120" w:line="276"/>
        <w:jc w:val="both"/>
      </w:pPr>
      <w:r>
        <w:rPr>
          <w:b/>
          <w:bCs/>
        </w:rPr>
        <w:t xml:space="preserve">II. </w:t>
      </w:r>
      <w:r>
        <w:t xml:space="preserve">Que DOLMEN desarrolla su actividad en la extracción de piedra natural en cantera —con aprovisionamiento de bloque en distintos países— y en su posterior transformación en planta, y está interesada en incorporar de forma progresiva tecnologías de inteligencia artificial y automatización a sus procesos productivos, logísticos, comerciales y administrativos.</w:t>
      </w:r>
    </w:p>
    <w:p>
      <w:pPr>
        <w:spacing w:after="120" w:line="276"/>
        <w:jc w:val="both"/>
      </w:pPr>
      <w:r>
        <w:rPr>
          <w:b/>
          <w:bCs/>
        </w:rPr>
        <w:t xml:space="preserve">III. </w:t>
      </w:r>
      <w:r>
        <w:t xml:space="preserve">Que ambas partes desean articular su colaboración bajo el concepto de «Cantera Inteligente y Planta de Transformación Inteligente», entendido como la incorporación gradual de capacidades de datos, automatización e inteligencia artificial al conjunto de la cadena de valor de DOLMEN, desde la explotación de cantera hasta la entrega al cliente final.</w:t>
      </w:r>
    </w:p>
    <w:p>
      <w:pPr>
        <w:spacing w:after="120" w:line="276"/>
        <w:jc w:val="both"/>
      </w:pPr>
      <w:r>
        <w:rPr>
          <w:b/>
          <w:bCs/>
        </w:rPr>
        <w:t xml:space="preserve">IV. </w:t>
      </w:r>
      <w:r>
        <w:t xml:space="preserve">Que Pumpún presentó a DOLMEN una propuesta de servicios (Ref. PD-CONS-2026-DOLMEN-01) estructurada en fases, que DOLMEN ha aceptado y que constituye el antecedente del presente Acuerdo.</w:t>
      </w:r>
    </w:p>
    <w:p>
      <w:pPr>
        <w:spacing w:after="120" w:line="276"/>
        <w:jc w:val="both"/>
      </w:pPr>
      <w:r>
        <w:rPr>
          <w:b/>
          <w:bCs/>
        </w:rPr>
        <w:t xml:space="preserve">V. </w:t>
      </w:r>
      <w:r>
        <w:t xml:space="preserve">Que, en su virtud, las partes acuerdan suscribir el presente Acuerdo Marco, que regirá las condiciones generales de su relación, con sujeción a las siguientes</w:t>
      </w:r>
    </w:p>
    <w:p>
      <w:pPr>
        <w:pStyle w:val="Heading1"/>
      </w:pPr>
      <w:r>
        <w:t xml:space="preserve">Cláusulas</w:t>
      </w:r>
    </w:p>
    <w:p>
      <w:pPr>
        <w:pStyle w:val="Heading2"/>
      </w:pPr>
      <w:r>
        <w:t xml:space="preserve">1. Objeto</w:t>
      </w:r>
    </w:p>
    <w:p>
      <w:pPr>
        <w:spacing w:after="120" w:line="276"/>
        <w:jc w:val="both"/>
      </w:pPr>
      <w:r>
        <w:rPr>
          <w:b/>
          <w:bCs/>
        </w:rPr>
        <w:t xml:space="preserve">1.1. </w:t>
      </w:r>
      <w:r>
        <w:t xml:space="preserve">El presente Acuerdo tiene por objeto establecer las condiciones generales conforme a las cuales Pumpún prestará a DOLMEN servicios de consultoría, diseño, desarrollo e implantación de soluciones de inteligencia artificial y automatización de procesos, así como su posterior soporte y mantenimiento.</w:t>
      </w:r>
    </w:p>
    <w:p>
      <w:pPr>
        <w:spacing w:after="120" w:line="276"/>
        <w:jc w:val="both"/>
      </w:pPr>
      <w:r>
        <w:rPr>
          <w:b/>
          <w:bCs/>
        </w:rPr>
        <w:t xml:space="preserve">1.2. </w:t>
      </w:r>
      <w:r>
        <w:t xml:space="preserve">El Acuerdo no genera por sí mismo obligación de encargar o ejecutar un volumen determinado de servicios. Los servicios concretos se contratarán mediante sucesivas Hojas de Encargo (Órdenes de Trabajo) que, una vez firmadas por ambas partes, se incorporarán como anexos al presente Acuerdo y se regirán por él.</w:t>
      </w:r>
    </w:p>
    <w:p>
      <w:pPr>
        <w:spacing w:after="120" w:line="276"/>
        <w:jc w:val="both"/>
      </w:pPr>
      <w:r>
        <w:rPr>
          <w:b/>
          <w:bCs/>
        </w:rPr>
        <w:t xml:space="preserve">1.3. </w:t>
      </w:r>
      <w:r>
        <w:t xml:space="preserve">La colaboración se estructura, con carácter orientativo, en tres fases: (i) Fase 1 — Diagnóstico de madurez y mapa de oportunidades; (ii) Fase 2 — Implantación de casos de uso priorizados; y (iii) Fase 3 — Acompañamiento, soporte y mejora continua, conforme se detalla en la propuesta antecedente y en las respectivas Hojas de Encargo.</w:t>
      </w:r>
    </w:p>
    <w:p>
      <w:pPr>
        <w:pStyle w:val="Heading2"/>
      </w:pPr>
      <w:r>
        <w:t xml:space="preserve">2. Hojas de Encargo</w:t>
      </w:r>
    </w:p>
    <w:p>
      <w:pPr>
        <w:spacing w:after="120" w:line="276"/>
        <w:jc w:val="both"/>
      </w:pPr>
      <w:r>
        <w:rPr>
          <w:b/>
          <w:bCs/>
        </w:rPr>
        <w:t xml:space="preserve">2.1. </w:t>
      </w:r>
      <w:r>
        <w:t xml:space="preserve">Cada servicio concreto se documentará en una Hoja de Encargo que, como mínimo, identificará: el alcance y descripción de los trabajos, los entregables, el calendario o plazo de ejecución, el precio y la modalidad de facturación, y cualesquiera condiciones particulares aplicables.</w:t>
      </w:r>
    </w:p>
    <w:p>
      <w:pPr>
        <w:spacing w:after="120" w:line="276"/>
        <w:jc w:val="both"/>
      </w:pPr>
      <w:r>
        <w:rPr>
          <w:b/>
          <w:bCs/>
        </w:rPr>
        <w:t xml:space="preserve">2.2. </w:t>
      </w:r>
      <w:r>
        <w:t xml:space="preserve">En caso de contradicción entre el presente Acuerdo y una Hoja de Encargo, prevalecerá lo dispuesto en la Hoja de Encargo respecto de la materia específica que regule, manteniéndose en lo demás la plena vigencia del Acuerdo.</w:t>
      </w:r>
    </w:p>
    <w:p>
      <w:pPr>
        <w:spacing w:after="120" w:line="276"/>
        <w:jc w:val="both"/>
      </w:pPr>
      <w:r>
        <w:rPr>
          <w:b/>
          <w:bCs/>
        </w:rPr>
        <w:t xml:space="preserve">2.3. </w:t>
      </w:r>
      <w:r>
        <w:t xml:space="preserve">La modificación del alcance de una Hoja de Encargo en curso (control de cambios) requerirá acuerdo escrito de ambas partes, que recogerá su impacto en plazo y precio antes de su ejecución.</w:t>
      </w:r>
    </w:p>
    <w:p>
      <w:pPr>
        <w:pStyle w:val="Heading2"/>
      </w:pPr>
      <w:r>
        <w:t xml:space="preserve">3. Obligaciones de las partes</w:t>
      </w:r>
    </w:p>
    <w:p>
      <w:pPr>
        <w:spacing w:after="140" w:line="276"/>
        <w:jc w:val="both"/>
      </w:pPr>
      <w:r>
        <w:rPr>
          <w:b w:val="false"/>
          <w:bCs w:val="false"/>
        </w:rPr>
        <w:t xml:space="preserve">3.1. Pumpún se obliga a:</w:t>
      </w:r>
    </w:p>
    <w:p>
      <w:pPr>
        <w:pStyle w:val="ListParagraph"/>
        <w:numPr>
          <w:ilvl w:val="0"/>
          <w:numId w:val="2"/>
        </w:numPr>
        <w:spacing w:after="70" w:line="276"/>
        <w:jc w:val="both"/>
      </w:pPr>
      <w:r>
        <w:t xml:space="preserve">Prestar los servicios con la diligencia profesional propia de una empresa especializada en el sector, y conforme a las buenas prácticas técnicas aplicables.</w:t>
      </w:r>
    </w:p>
    <w:p>
      <w:pPr>
        <w:pStyle w:val="ListParagraph"/>
        <w:numPr>
          <w:ilvl w:val="0"/>
          <w:numId w:val="2"/>
        </w:numPr>
        <w:spacing w:after="70" w:line="276"/>
        <w:jc w:val="both"/>
      </w:pPr>
      <w:r>
        <w:t xml:space="preserve">Asignar personal con cualificación suficiente y guardar confidencialidad conforme a la cláusula correspondiente.</w:t>
      </w:r>
    </w:p>
    <w:p>
      <w:pPr>
        <w:pStyle w:val="ListParagraph"/>
        <w:numPr>
          <w:ilvl w:val="0"/>
          <w:numId w:val="2"/>
        </w:numPr>
        <w:spacing w:after="70" w:line="276"/>
        <w:jc w:val="both"/>
      </w:pPr>
      <w:r>
        <w:t xml:space="preserve">Informar a DOLMEN del estado de avance de los trabajos y de cualquier incidencia relevante.</w:t>
      </w:r>
    </w:p>
    <w:p>
      <w:pPr>
        <w:pStyle w:val="ListParagraph"/>
        <w:numPr>
          <w:ilvl w:val="0"/>
          <w:numId w:val="2"/>
        </w:numPr>
        <w:spacing w:after="70" w:line="276"/>
        <w:jc w:val="both"/>
      </w:pPr>
      <w:r>
        <w:t xml:space="preserve">Entregar los trabajos conforme a los entregables y plazos pactados en cada Hoja de Encargo.</w:t>
      </w:r>
    </w:p>
    <w:p>
      <w:pPr>
        <w:spacing w:after="140" w:line="276"/>
        <w:jc w:val="both"/>
      </w:pPr>
      <w:r>
        <w:rPr>
          <w:b w:val="false"/>
          <w:bCs w:val="false"/>
        </w:rPr>
        <w:t xml:space="preserve">3.2. DOLMEN se obliga a:</w:t>
      </w:r>
    </w:p>
    <w:p>
      <w:pPr>
        <w:pStyle w:val="ListParagraph"/>
        <w:numPr>
          <w:ilvl w:val="0"/>
          <w:numId w:val="2"/>
        </w:numPr>
        <w:spacing w:after="70" w:line="276"/>
        <w:jc w:val="both"/>
      </w:pPr>
      <w:r>
        <w:t xml:space="preserve">Facilitar a Pumpún, en tiempo y forma, la información, los accesos, los datos y los medios necesarios para la prestación de los servicios.</w:t>
      </w:r>
    </w:p>
    <w:p>
      <w:pPr>
        <w:pStyle w:val="ListParagraph"/>
        <w:numPr>
          <w:ilvl w:val="0"/>
          <w:numId w:val="2"/>
        </w:numPr>
        <w:spacing w:after="70" w:line="276"/>
        <w:jc w:val="both"/>
      </w:pPr>
      <w:r>
        <w:t xml:space="preserve">Designar un interlocutor con capacidad de decisión para la coordinación de los trabajos.</w:t>
      </w:r>
    </w:p>
    <w:p>
      <w:pPr>
        <w:pStyle w:val="ListParagraph"/>
        <w:numPr>
          <w:ilvl w:val="0"/>
          <w:numId w:val="2"/>
        </w:numPr>
        <w:spacing w:after="70" w:line="276"/>
        <w:jc w:val="both"/>
      </w:pPr>
      <w:r>
        <w:t xml:space="preserve">Validar los entregables en los plazos acordados y abonar los importes pactados en las condiciones convenidas.</w:t>
      </w:r>
    </w:p>
    <w:p>
      <w:pPr>
        <w:pStyle w:val="ListParagraph"/>
        <w:numPr>
          <w:ilvl w:val="0"/>
          <w:numId w:val="2"/>
        </w:numPr>
        <w:spacing w:after="70" w:line="276"/>
        <w:jc w:val="both"/>
      </w:pPr>
      <w:r>
        <w:t xml:space="preserve">Garantizar que la información y los datos que facilita a Pumpún se han obtenido lícitamente y que dispone de las autorizaciones necesarias para su tratamiento.</w:t>
      </w:r>
    </w:p>
    <w:p>
      <w:pPr>
        <w:pStyle w:val="Heading2"/>
      </w:pPr>
      <w:r>
        <w:t xml:space="preserve">4. Supervisión humana de los sistemas de inteligencia artificial</w:t>
      </w:r>
    </w:p>
    <w:p>
      <w:pPr>
        <w:spacing w:after="120" w:line="276"/>
        <w:jc w:val="both"/>
      </w:pPr>
      <w:r>
        <w:rPr>
          <w:b/>
          <w:bCs/>
        </w:rPr>
        <w:t xml:space="preserve">4.1. </w:t>
      </w:r>
      <w:r>
        <w:t xml:space="preserve">Las soluciones de inteligencia artificial implantadas por Pumpún se conciben como herramientas de apoyo a la decisión. Sus resultados, predicciones, clasificaciones o recomendaciones no constituyen decisiones automáticas vinculantes y requieren validación y supervisión por parte del personal de DOLMEN.</w:t>
      </w:r>
    </w:p>
    <w:p>
      <w:pPr>
        <w:spacing w:after="120" w:line="276"/>
        <w:jc w:val="both"/>
      </w:pPr>
      <w:r>
        <w:rPr>
          <w:b/>
          <w:bCs/>
        </w:rPr>
        <w:t xml:space="preserve">4.2. </w:t>
      </w:r>
      <w:r>
        <w:t xml:space="preserve">Las decisiones de negocio, operativas, productivas, de seguridad y de cualquier otra índole corresponden en todo caso a DOLMEN, que mantiene el control y la responsabilidad última sobre las mismas. Pumpún no responde de las decisiones adoptadas por DOLMEN sobre la base de los resultados proporcionados por los sistemas.</w:t>
      </w:r>
    </w:p>
    <w:p>
      <w:pPr>
        <w:spacing w:after="120" w:line="276"/>
        <w:jc w:val="both"/>
      </w:pPr>
      <w:r>
        <w:rPr>
          <w:b/>
          <w:bCs/>
        </w:rPr>
        <w:t xml:space="preserve">4.3. </w:t>
      </w:r>
      <w:r>
        <w:t xml:space="preserve">Cuando los sistemas traten datos personales o puedan afectar a derechos de las personas, se diseñarán e implantarán bajo criterios de privacidad desde el diseño y por defecto, proporcionalidad y mínima intervención, conforme a la normativa aplicable.</w:t>
      </w:r>
    </w:p>
    <w:p>
      <w:pPr>
        <w:pStyle w:val="Heading2"/>
      </w:pPr>
      <w:r>
        <w:t xml:space="preserve">5. Precio, facturación y pago</w:t>
      </w:r>
    </w:p>
    <w:p>
      <w:pPr>
        <w:spacing w:after="120" w:line="276"/>
        <w:jc w:val="both"/>
      </w:pPr>
      <w:r>
        <w:rPr>
          <w:b/>
          <w:bCs/>
        </w:rPr>
        <w:t xml:space="preserve">5.1. </w:t>
      </w:r>
      <w:r>
        <w:t xml:space="preserve">El precio y la modalidad de facturación (precio cerrado, bolsa de horas o cuota recurrente) se fijarán en cada Hoja de Encargo. Los precios se entienden expresados en euros y sin incluir el IVA u otros impuestos aplicables, que se repercutirán conforme a la legislación vigente.</w:t>
      </w:r>
    </w:p>
    <w:p>
      <w:pPr>
        <w:spacing w:after="120" w:line="276"/>
        <w:jc w:val="both"/>
      </w:pPr>
      <w:r>
        <w:rPr>
          <w:b/>
          <w:bCs/>
        </w:rPr>
        <w:t xml:space="preserve">5.2. </w:t>
      </w:r>
      <w:r>
        <w:t xml:space="preserve">Salvo pacto distinto en la Hoja de Encargo, las facturas se abonarán mediante transferencia bancaria en un plazo de treinta (30) días desde su fecha de emisión.</w:t>
      </w:r>
    </w:p>
    <w:p>
      <w:pPr>
        <w:spacing w:after="120" w:line="276"/>
        <w:jc w:val="both"/>
      </w:pPr>
      <w:r>
        <w:rPr>
          <w:b/>
          <w:bCs/>
        </w:rPr>
        <w:t xml:space="preserve">5.3. </w:t>
      </w:r>
      <w:r>
        <w:t xml:space="preserve">El retraso en el pago devengará el interés de demora previsto en la Ley 3/2004, de 29 de diciembre, de medidas de lucha contra la morosidad en las operaciones comerciales, sin perjuicio de las demás acciones que asistan a Pumpún.</w:t>
      </w:r>
    </w:p>
    <w:p>
      <w:pPr>
        <w:pStyle w:val="Heading2"/>
      </w:pPr>
      <w:r>
        <w:t xml:space="preserve">6. Propiedad intelectual e industrial</w:t>
      </w:r>
    </w:p>
    <w:p>
      <w:pPr>
        <w:spacing w:after="120" w:line="276"/>
        <w:jc w:val="both"/>
      </w:pPr>
      <w:r>
        <w:rPr>
          <w:b/>
          <w:bCs/>
        </w:rPr>
        <w:t xml:space="preserve">6.1. </w:t>
      </w:r>
      <w:r>
        <w:t xml:space="preserve">Conocimiento previo (background). Pumpún conserva la titularidad exclusiva de todo el conocimiento, metodologías, herramientas, librerías, componentes, modelos y desarrollos preexistentes o de uso general, así como de las mejoras genéricas de los mismos (en adelante, «Material Preexistente»), con independencia de que se empleen en la prestación de los servicios.</w:t>
      </w:r>
    </w:p>
    <w:p>
      <w:pPr>
        <w:spacing w:after="120" w:line="276"/>
        <w:jc w:val="both"/>
      </w:pPr>
      <w:r>
        <w:rPr>
          <w:b/>
          <w:bCs/>
        </w:rPr>
        <w:t xml:space="preserve">6.2. </w:t>
      </w:r>
      <w:r>
        <w:t xml:space="preserve">Resultados a medida (foreground). La titularidad o, en su caso, la licencia de uso de los desarrollos realizados específicamente y a medida para DOLMEN se determinará en la correspondiente Hoja de Encargo. Salvo pacto expreso distinto, la cesión o licencia de tales resultados quedará condicionada al pago íntegro de los importes correspondientes.</w:t>
      </w:r>
    </w:p>
    <w:p>
      <w:pPr>
        <w:spacing w:after="120" w:line="276"/>
        <w:jc w:val="both"/>
      </w:pPr>
      <w:r>
        <w:rPr>
          <w:b/>
          <w:bCs/>
        </w:rPr>
        <w:t xml:space="preserve">6.3. </w:t>
      </w:r>
      <w:r>
        <w:t xml:space="preserve">En la medida en que los resultados a medida incorporen Material Preexistente, Pumpún concede a DOLMEN una licencia no exclusiva, intransferible y limitada a la finalidad y al ámbito del encargo, para su uso interno, sin que ello suponga cesión alguna de la titularidad del Material Preexistente.</w:t>
      </w:r>
    </w:p>
    <w:p>
      <w:pPr>
        <w:spacing w:after="120" w:line="276"/>
        <w:jc w:val="both"/>
      </w:pPr>
      <w:r>
        <w:rPr>
          <w:b/>
          <w:bCs/>
        </w:rPr>
        <w:t xml:space="preserve">6.4. </w:t>
      </w:r>
      <w:r>
        <w:t xml:space="preserve">Los datos de negocio, operativos y de cualquier índole aportados o generados por DOLMEN son y seguirán siendo de su exclusiva titularidad.</w:t>
      </w:r>
    </w:p>
    <w:p>
      <w:pPr>
        <w:pStyle w:val="Heading2"/>
      </w:pPr>
      <w:r>
        <w:t xml:space="preserve">7. Confidencialidad</w:t>
      </w:r>
    </w:p>
    <w:p>
      <w:pPr>
        <w:spacing w:after="120" w:line="276"/>
        <w:jc w:val="both"/>
      </w:pPr>
      <w:r>
        <w:rPr>
          <w:b/>
          <w:bCs/>
        </w:rPr>
        <w:t xml:space="preserve">7.1. </w:t>
      </w:r>
      <w:r>
        <w:t xml:space="preserve">Cada parte se obliga a mantener la más estricta confidencialidad sobre toda información de la otra parte a la que acceda con ocasión del presente Acuerdo, y a no divulgarla ni emplearla para fines distintos de su ejecución.</w:t>
      </w:r>
    </w:p>
    <w:p>
      <w:pPr>
        <w:spacing w:after="120" w:line="276"/>
        <w:jc w:val="both"/>
      </w:pPr>
      <w:r>
        <w:rPr>
          <w:b/>
          <w:bCs/>
        </w:rPr>
        <w:t xml:space="preserve">7.2. </w:t>
      </w:r>
      <w:r>
        <w:t xml:space="preserve">La obligación de confidencialidad no alcanza a la información que sea de dominio público, que la parte receptora ya conociera lícitamente, o cuya divulgación venga impuesta por norma o autoridad competente. Esta obligación subsistirá durante la vigencia del Acuerdo y los cinco (5) años siguientes a su extinción.</w:t>
      </w:r>
    </w:p>
    <w:p>
      <w:pPr>
        <w:pStyle w:val="Heading2"/>
      </w:pPr>
      <w:r>
        <w:t xml:space="preserve">8. Protección de datos personales</w:t>
      </w:r>
    </w:p>
    <w:p>
      <w:pPr>
        <w:spacing w:after="120" w:line="276"/>
        <w:jc w:val="both"/>
      </w:pPr>
      <w:r>
        <w:rPr>
          <w:b/>
          <w:bCs/>
        </w:rPr>
        <w:t xml:space="preserve">8.1. </w:t>
      </w:r>
      <w:r>
        <w:t xml:space="preserve">Las partes cumplirán el Reglamento (UE) 2016/679 (RGPD) y la Ley Orgánica 3/2018, de Protección de Datos Personales y garantía de los derechos digitales (LOPDGDD).</w:t>
      </w:r>
    </w:p>
    <w:p>
      <w:pPr>
        <w:spacing w:after="120" w:line="276"/>
        <w:jc w:val="both"/>
      </w:pPr>
      <w:r>
        <w:rPr>
          <w:b/>
          <w:bCs/>
        </w:rPr>
        <w:t xml:space="preserve">8.2. </w:t>
      </w:r>
      <w:r>
        <w:t xml:space="preserve">Cuando la prestación de un servicio implique el tratamiento por Pumpún de datos personales de los que DOLMEN sea responsable, las partes suscribirán el correspondiente Contrato de Encargo de Tratamiento conforme al artículo 28 del RGPD, que se incorporará como anexo y regulará el objeto, la duración, la naturaleza y la finalidad del tratamiento, las categorías de datos e interesados, las medidas de seguridad y el régimen de subencargados.</w:t>
      </w:r>
    </w:p>
    <w:p>
      <w:pPr>
        <w:spacing w:after="120" w:line="276"/>
        <w:jc w:val="both"/>
      </w:pPr>
      <w:r>
        <w:rPr>
          <w:b/>
          <w:bCs/>
        </w:rPr>
        <w:t xml:space="preserve">8.3. </w:t>
      </w:r>
      <w:r>
        <w:t xml:space="preserve">Pumpún aplicará a los tratamientos las medidas técnicas y organizativas propias de su certificación ENS Categoría Alta, sin perjuicio de las que correspondan según la naturaleza de cada tratamiento.</w:t>
      </w:r>
    </w:p>
    <w:p>
      <w:pPr>
        <w:pStyle w:val="Heading2"/>
      </w:pPr>
      <w:r>
        <w:t xml:space="preserve">9. Responsabilidad</w:t>
      </w:r>
    </w:p>
    <w:p>
      <w:pPr>
        <w:spacing w:after="120" w:line="276"/>
        <w:jc w:val="both"/>
      </w:pPr>
      <w:r>
        <w:rPr>
          <w:b/>
          <w:bCs/>
        </w:rPr>
        <w:t xml:space="preserve">9.1. </w:t>
      </w:r>
      <w:r>
        <w:t xml:space="preserve">Pumpún responderá de los daños directos efectivamente causados a DOLMEN por incumplimiento doloso o gravemente negligente de sus obligaciones. Queda excluida la responsabilidad por daños indirectos, lucro cesante, pérdida de negocio, de datos o de oportunidad.</w:t>
      </w:r>
    </w:p>
    <w:p>
      <w:pPr>
        <w:spacing w:after="120" w:line="276"/>
        <w:jc w:val="both"/>
      </w:pPr>
      <w:r>
        <w:rPr>
          <w:b/>
          <w:bCs/>
        </w:rPr>
        <w:t xml:space="preserve">9.2. </w:t>
      </w:r>
      <w:r>
        <w:t xml:space="preserve">Salvo en supuestos de dolo, la responsabilidad total y acumulada de Pumpún frente a DOLMEN por cualquier concepto quedará limitada al importe efectivamente facturado y cobrado en virtud de la Hoja de Encargo de la que traiga causa la reclamación durante los doce (12) meses anteriores al hecho generador.</w:t>
      </w:r>
    </w:p>
    <w:p>
      <w:pPr>
        <w:spacing w:after="120" w:line="276"/>
        <w:jc w:val="both"/>
      </w:pPr>
      <w:r>
        <w:rPr>
          <w:b/>
          <w:bCs/>
        </w:rPr>
        <w:t xml:space="preserve">9.3. </w:t>
      </w:r>
      <w:r>
        <w:t xml:space="preserve">Las limitaciones anteriores no serán de aplicación a las obligaciones de confidencialidad, de protección de datos ni a los daños a las personas, en la medida en que la ley no permita su limitación.</w:t>
      </w:r>
    </w:p>
    <w:p>
      <w:pPr>
        <w:pStyle w:val="Heading2"/>
      </w:pPr>
      <w:r>
        <w:t xml:space="preserve">10. Personal y no captación</w:t>
      </w:r>
    </w:p>
    <w:p>
      <w:pPr>
        <w:spacing w:after="120" w:line="276"/>
        <w:jc w:val="both"/>
      </w:pPr>
      <w:r>
        <w:rPr>
          <w:b/>
          <w:bCs/>
        </w:rPr>
        <w:t xml:space="preserve">10.1. </w:t>
      </w:r>
      <w:r>
        <w:t xml:space="preserve">El personal que cada parte destine a la ejecución del Acuerdo permanecerá bajo su exclusiva dependencia y dirección, sin que se genere relación laboral alguna con la otra parte.</w:t>
      </w:r>
    </w:p>
    <w:p>
      <w:pPr>
        <w:spacing w:after="120" w:line="276"/>
        <w:jc w:val="both"/>
      </w:pPr>
      <w:r>
        <w:rPr>
          <w:b/>
          <w:bCs/>
        </w:rPr>
        <w:t xml:space="preserve">10.2. </w:t>
      </w:r>
      <w:r>
        <w:t xml:space="preserve">Durante la vigencia del Acuerdo y los doce (12) meses siguientes, ninguna de las partes contratará directamente al personal de la otra que hubiera intervenido en los servicios, salvo autorización escrita.</w:t>
      </w:r>
    </w:p>
    <w:p>
      <w:pPr>
        <w:pStyle w:val="Heading2"/>
      </w:pPr>
      <w:r>
        <w:t xml:space="preserve">11. Duración y terminación</w:t>
      </w:r>
    </w:p>
    <w:p>
      <w:pPr>
        <w:spacing w:after="120" w:line="276"/>
        <w:jc w:val="both"/>
      </w:pPr>
      <w:r>
        <w:rPr>
          <w:b/>
          <w:bCs/>
        </w:rPr>
        <w:t xml:space="preserve">11.1. </w:t>
      </w:r>
      <w:r>
        <w:t xml:space="preserve">El presente Acuerdo entrará en vigor en la fecha de su firma y tendrá una duración inicial de dos (2) años, prorrogable tácitamente por períodos anuales sucesivos, salvo denuncia por cualquiera de las partes con una antelación mínima de dos (2) meses al término del período correspondiente.</w:t>
      </w:r>
    </w:p>
    <w:p>
      <w:pPr>
        <w:spacing w:after="120" w:line="276"/>
        <w:jc w:val="both"/>
      </w:pPr>
      <w:r>
        <w:rPr>
          <w:b/>
          <w:bCs/>
        </w:rPr>
        <w:t xml:space="preserve">11.2. </w:t>
      </w:r>
      <w:r>
        <w:t xml:space="preserve">La extinción del Acuerdo no afectará a las Hojas de Encargo en curso, que continuarán rigiéndose por él hasta su completa terminación, salvo que las partes acuerden otra cosa.</w:t>
      </w:r>
    </w:p>
    <w:p>
      <w:pPr>
        <w:spacing w:after="120" w:line="276"/>
        <w:jc w:val="both"/>
      </w:pPr>
      <w:r>
        <w:rPr>
          <w:b/>
          <w:bCs/>
        </w:rPr>
        <w:t xml:space="preserve">11.3. </w:t>
      </w:r>
      <w:r>
        <w:t xml:space="preserve">Cualquiera de las partes podrá resolver el Acuerdo en caso de incumplimiento grave de la otra que, requerida fehacientemente, no sea subsanado en el plazo de treinta (30) días.</w:t>
      </w:r>
    </w:p>
    <w:p>
      <w:pPr>
        <w:pStyle w:val="Heading2"/>
      </w:pPr>
      <w:r>
        <w:t xml:space="preserve">12. Cesión</w:t>
      </w:r>
    </w:p>
    <w:p>
      <w:pPr>
        <w:spacing w:after="140" w:line="276"/>
        <w:jc w:val="both"/>
      </w:pPr>
      <w:r>
        <w:t xml:space="preserve">Ninguna de las partes podrá ceder su posición en el Acuerdo sin el consentimiento escrito de la otra, que no se denegará injustificadamente.</w:t>
      </w:r>
    </w:p>
    <w:p>
      <w:pPr>
        <w:pStyle w:val="Heading2"/>
      </w:pPr>
      <w:r>
        <w:t xml:space="preserve">13. Comunicaciones</w:t>
      </w:r>
    </w:p>
    <w:p>
      <w:pPr>
        <w:spacing w:after="140" w:line="276"/>
        <w:jc w:val="both"/>
      </w:pPr>
      <w:r>
        <w:t xml:space="preserve">Las comunicaciones entre las partes se realizarán por escrito a los domicilios indicados en el encabezamiento o a las direcciones de correo electrónico que se designen, surtiendo plenos efectos las cursadas por esta última vía cuando quede constancia de su recepción.</w:t>
      </w:r>
    </w:p>
    <w:p>
      <w:pPr>
        <w:pStyle w:val="Heading2"/>
      </w:pPr>
      <w:r>
        <w:t xml:space="preserve">14. Ley aplicable y jurisdicción</w:t>
      </w:r>
    </w:p>
    <w:p>
      <w:pPr>
        <w:spacing w:after="120" w:line="276"/>
        <w:jc w:val="both"/>
      </w:pPr>
      <w:r>
        <w:rPr>
          <w:b/>
          <w:bCs/>
        </w:rPr>
        <w:t xml:space="preserve">14.1. </w:t>
      </w:r>
      <w:r>
        <w:t xml:space="preserve">El presente Acuerdo se rige por la legislación española.</w:t>
      </w:r>
    </w:p>
    <w:p>
      <w:pPr>
        <w:spacing w:after="120" w:line="276"/>
        <w:jc w:val="both"/>
      </w:pPr>
      <w:r>
        <w:rPr>
          <w:b/>
          <w:bCs/>
        </w:rPr>
        <w:t xml:space="preserve">14.2. </w:t>
      </w:r>
      <w:r>
        <w:t xml:space="preserve">Para la resolución de cualquier controversia derivada de su interpretación o cumplimiento, las partes se someten, con renuncia a cualquier otro fuero que pudiera corresponderles, a los Juzgados y Tribunales de la ciudad de Vigo.</w:t>
      </w:r>
    </w:p>
    <w:p>
      <w:pPr>
        <w:pStyle w:val="Heading2"/>
      </w:pPr>
      <w:r>
        <w:t xml:space="preserve">15. Anexos</w:t>
      </w:r>
    </w:p>
    <w:p>
      <w:pPr>
        <w:spacing w:after="140" w:line="276"/>
        <w:jc w:val="both"/>
      </w:pPr>
      <w:r>
        <w:t xml:space="preserve">Forman parte integrante del presente Acuerdo los siguientes anexos:</w:t>
      </w:r>
    </w:p>
    <w:p>
      <w:pPr>
        <w:pStyle w:val="ListParagraph"/>
        <w:numPr>
          <w:ilvl w:val="0"/>
          <w:numId w:val="3"/>
        </w:numPr>
        <w:spacing w:after="70" w:line="276"/>
        <w:jc w:val="both"/>
      </w:pPr>
      <w:r>
        <w:t xml:space="preserve">Anexo I — Hoja de Encargo nº 1: Fase 1, Diagnóstico de madurez y mapa de oportunidades.</w:t>
      </w:r>
    </w:p>
    <w:p>
      <w:pPr>
        <w:pStyle w:val="ListParagraph"/>
        <w:numPr>
          <w:ilvl w:val="0"/>
          <w:numId w:val="3"/>
        </w:numPr>
        <w:spacing w:after="70" w:line="276"/>
        <w:jc w:val="both"/>
      </w:pPr>
      <w:r>
        <w:t xml:space="preserve">Anexo II — Apéndice: Hoja de Ruta orientativa de la implantación de inteligencia progresiva («Cantera Inteligente y Planta de Transformación Inteligente»).</w:t>
      </w:r>
    </w:p>
    <w:p>
      <w:pPr>
        <w:pStyle w:val="ListParagraph"/>
        <w:numPr>
          <w:ilvl w:val="0"/>
          <w:numId w:val="3"/>
        </w:numPr>
        <w:spacing w:after="70" w:line="276"/>
        <w:jc w:val="both"/>
      </w:pPr>
      <w:r>
        <w:t xml:space="preserve">Anexo III — Contrato de Encargo de Tratamiento (art. 28 RGPD), cuando proceda.</w:t>
      </w:r>
    </w:p>
    <w:p>
      <w:pPr>
        <w:pStyle w:val="Heading1"/>
      </w:pPr>
      <w:r>
        <w:t xml:space="preserve">Firmas</w:t>
      </w:r>
    </w:p>
    <w:p>
      <w:pPr>
        <w:spacing w:after="140" w:line="276"/>
        <w:jc w:val="both"/>
      </w:pPr>
      <w:r>
        <w:t xml:space="preserve">Y en prueba de conformidad, ambas partes firman el presente Acuerdo Marco por duplicado y a un solo efecto, en el lugar y fecha indicados en el encabezamiento.</w:t>
      </w:r>
    </w:p>
    <w:p>
      <w:pPr>
        <w:spacing w:before="20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Por PUMPÚN DIXITAL, S.L.</w:t>
            </w:r>
          </w:p>
          <w:p>
            <w:pPr>
              <w:spacing w:before="800"/>
            </w:pPr>
            <w:r>
              <w:rPr>
                <w:sz w:val="20"/>
                <w:szCs w:val="20"/>
              </w:rPr>
              <w:t xml:space="preserve">Fdo.: ____________________</w:t>
            </w:r>
          </w:p>
          <w:p>
            <w:r>
              <w:rPr>
                <w:sz w:val="20"/>
                <w:szCs w:val="20"/>
              </w:rPr>
              <w:t xml:space="preserve">Nombre: José Carlos García Sánchez</w:t>
            </w:r>
          </w:p>
          <w:p>
            <w:r>
              <w:rPr>
                <w:sz w:val="20"/>
                <w:szCs w:val="20"/>
              </w:rPr>
              <w:t xml:space="preserve">D.N.I.: 76710308H</w:t>
            </w:r>
          </w:p>
        </w:tc>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Por DOLMEN GRANITOS Y MÁRMOLES, S.L.</w:t>
            </w:r>
          </w:p>
          <w:p>
            <w:pPr>
              <w:spacing w:before="700"/>
            </w:pPr>
            <w:r>
              <w:rPr>
                <w:sz w:val="20"/>
                <w:szCs w:val="20"/>
              </w:rPr>
              <w:t xml:space="preserve">Fdo.: ____________________</w:t>
            </w:r>
          </w:p>
          <w:p>
            <w:r>
              <w:rPr>
                <w:sz w:val="20"/>
                <w:szCs w:val="20"/>
              </w:rPr>
              <w:t xml:space="preserve">Nombre: David Fernández Sanromán</w:t>
            </w:r>
          </w:p>
          <w:p>
            <w:r>
              <w:rPr>
                <w:sz w:val="20"/>
                <w:szCs w:val="20"/>
              </w:rPr>
              <w:t xml:space="preserve">D.N.I.: 36106736W</w:t>
            </w:r>
          </w:p>
          <w:p>
            <w:pPr>
              <w:spacing w:before="500"/>
            </w:pPr>
            <w:r>
              <w:rPr>
                <w:sz w:val="20"/>
                <w:szCs w:val="20"/>
              </w:rPr>
              <w:t xml:space="preserve">Fdo.: ____________________</w:t>
            </w:r>
          </w:p>
          <w:p>
            <w:r>
              <w:rPr>
                <w:sz w:val="20"/>
                <w:szCs w:val="20"/>
              </w:rPr>
              <w:t xml:space="preserve">Nombre: María Noelia Santomé Iglesias</w:t>
            </w:r>
          </w:p>
          <w:p>
            <w:r>
              <w:rPr>
                <w:sz w:val="20"/>
                <w:szCs w:val="20"/>
              </w:rPr>
              <w:t xml:space="preserve">D.N.I.: 36118934X</w:t>
            </w:r>
          </w:p>
        </w:tc>
      </w:tr>
    </w:tbl>
    <w:p>
      <w:pPr>
        <w:pStyle w:val="Heading1"/>
        <w:pageBreakBefore/>
      </w:pPr>
      <w:r>
        <w:t xml:space="preserve">Anexo II — Apéndice: Hoja de ruta orientativa</w:t>
      </w:r>
    </w:p>
    <w:p>
      <w:pPr>
        <w:spacing w:after="160"/>
      </w:pPr>
      <w:r>
        <w:rPr>
          <w:i/>
          <w:iCs/>
          <w:color w:val="595959"/>
          <w:sz w:val="20"/>
          <w:szCs w:val="20"/>
        </w:rPr>
        <w:t xml:space="preserve">Implantación de inteligencia progresiva — «Cantera Inteligente y Planta de Transformación Inteligente»</w:t>
      </w:r>
    </w:p>
    <w:p>
      <w:pPr>
        <w:spacing w:after="140" w:line="276"/>
        <w:jc w:val="both"/>
      </w:pPr>
      <w:r>
        <w:rPr>
          <w:i/>
          <w:iCs/>
        </w:rPr>
        <w:t xml:space="preserve">El presente apéndice tiene carácter meramente orientativo e informativo. No constituye un compromiso de alcance ni de ejecución, ni genera obligación de contratación alguna. Su finalidad es ilustrar la potencial evolución de la colaboración una vez abordadas las intervenciones iniciales. Cualquier actuación que las partes decidan acometer se formalizará, en su caso, mediante la correspondiente Hoja de Encargo.</w:t>
      </w:r>
    </w:p>
    <w:p>
      <w:pPr>
        <w:spacing w:after="140" w:line="276"/>
        <w:jc w:val="both"/>
      </w:pPr>
      <w:r>
        <w:t xml:space="preserve">Otros elementos abordables en esta implantación de inteligencia progresiva, una vez abordados los iniciales, podrían incorporar la medición automática de acopios a través de tecnologías ya existentes en Dolmen, como drones, sensores, modelos 3D y gemelos digitales. Podrá incorporarse el cálculo automático de existencias, controlar el avance de explotación, supervisar taludes, analizar zonas de riesgo y generar informes periódicos de producción, stock y planificación. Asimismo, la IA puede aplicarse a la optimización de perforaciones, voladuras y fragmentación, relacionando los parámetros de trabajo con el tamaño del material obtenido, el rendimiento posterior en trituración, el consumo energético y los costes asociados.</w:t>
      </w:r>
    </w:p>
    <w:p>
      <w:pPr>
        <w:spacing w:after="140" w:line="276"/>
        <w:jc w:val="both"/>
      </w:pPr>
      <w:r>
        <w:t xml:space="preserve">En planta, existen oportunidades relevantes en la automatización del control de procesos de trituración, cribado, lavado, corte, pulido, clasificación y almacenamiento, mediante modelos predictivos que ajusten caudales, anticipen atascos, reduzcan paradas, mejoren la eficiencia energética y aseguren una producción más estable. Uno de los campos de mayor impacto es el mantenimiento predictivo de maquinaria crítica, como trituradoras, cintas transportadoras, cribas, palas, dumpers, compresores, cortadoras, puentes grúa, bombas y equipos eléctricos, utilizando datos de vibración, temperatura, consumo, presión, horas de uso y averías históricas para detectar anomalías y anticipar fallos antes de que se produzcan paradas no planificadas.</w:t>
      </w:r>
    </w:p>
    <w:p>
      <w:pPr>
        <w:spacing w:after="140" w:line="276"/>
        <w:jc w:val="both"/>
      </w:pPr>
      <w:r>
        <w:t xml:space="preserve">También la IA puede ayudar a optimizar los patrones de corte y aprovechamiento de bloques y losas, reduciendo merma, maximizando metros cuadrados vendibles y priorizando pedidos en función de margen, plazo, disponibilidad de material o requisitos del cliente. Otro eje importante es la trazabilidad integral, desde la cantera hasta el cliente final, mediante identificación digital de bloques, lotes y piezas, integración con ERP, códigos QR, RFID o sistemas de visión, de forma que cada material tenga asociado su origen, ubicación, proceso, historial de calidad, destino y documentación correspondiente.</w:t>
      </w:r>
    </w:p>
    <w:p>
      <w:pPr>
        <w:spacing w:after="140" w:line="276"/>
        <w:jc w:val="both"/>
      </w:pPr>
      <w:r>
        <w:t xml:space="preserve">En paralelo, pueden desarrollarse soluciones de optimización de flota y logística interna, analizando ciclos de carga y descarga, rutas, consumos de combustible, tiempos muertos, rendimiento por máquina y coste por tonelada transportada. La IA también puede reforzar la seguridad laboral mediante detección de personas en zonas de riesgo, control de proximidad entre maquinaria y trabajadores, verificación de uso de EPIs, análisis de incidentes y alertas preventivas, siempre bajo criterios de privacidad, proporcionalidad y cumplimiento normativo.</w:t>
      </w:r>
    </w:p>
    <w:p>
      <w:pPr>
        <w:spacing w:after="140" w:line="276"/>
        <w:jc w:val="both"/>
      </w:pPr>
      <w:r>
        <w:t xml:space="preserve">En materia ambiental, pueden implantarse sistemas de monitorización de polvo, ruido, vibraciones, consumo de agua, balsas, lodos, restauración de cantera e indicadores ESG, con generación automática de informes y alertas. Finalmente, la automatización puede continuar extendiéndose al área administrativa y comercial, como se ha hecho hasta ahora, mediante lectura inteligente de certificados de calidad, documentación preventiva, presupuestos, fichas técnicas, catálogos digitales, asistentes internos y herramientas de apoyo a ventas.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4" w:space="4"/>
      </w:pBdr>
      <w:tabs>
        <w:tab w:val="right" w:pos="9026"/>
      </w:tabs>
    </w:pPr>
    <w:r>
      <w:rPr>
        <w:color w:val="595959"/>
        <w:sz w:val="15"/>
        <w:szCs w:val="15"/>
      </w:rPr>
      <w:t xml:space="preserve">Documento confidencial · Ref. PD-AM-2026-DOLMEN-01</w:t>
    </w:r>
    <w:r>
      <w:rPr>
        <w:color w:val="595959"/>
        <w:sz w:val="15"/>
        <w:szCs w:val="15"/>
      </w:rPr>
      <w:t xml:space="preserve">	Página </w:t>
    </w:r>
    <w:r>
      <w:rPr>
        <w:color w:val="595959"/>
        <w:sz w:val="15"/>
        <w:szCs w:val="15"/>
      </w:rPr>
      <w:fldChar w:fldCharType="begin"/>
      <w:instrText xml:space="preserve">PAGE</w:instrText>
      <w:fldChar w:fldCharType="separate"/>
      <w:fldChar w:fldCharType="end"/>
    </w:r>
    <w:r>
      <w:rPr>
        <w:color w:val="595959"/>
        <w:sz w:val="15"/>
        <w:szCs w:val="15"/>
      </w:rPr>
      <w:t xml:space="preserve"> de </w:t>
    </w:r>
    <w:r>
      <w:rPr>
        <w:color w:val="595959"/>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DDDDD" w:sz="4" w:space="4"/>
      </w:pBdr>
      <w:tabs>
        <w:tab w:val="right" w:pos="9026"/>
      </w:tabs>
    </w:pPr>
    <w:r>
      <w:rPr>
        <w:b/>
        <w:bCs/>
        <w:color w:val="595959"/>
        <w:sz w:val="16"/>
        <w:szCs w:val="16"/>
      </w:rPr>
      <w:t xml:space="preserve">Acuerdo Marco de Prestación de Servicios</w:t>
    </w:r>
    <w:r>
      <w:rPr>
        <w:color w:val="595959"/>
        <w:sz w:val="15"/>
        <w:szCs w:val="15"/>
      </w:rPr>
      <w:t xml:space="preserve">	Pumpún Dixital S.L. — DOLMEN Granitos y Mármoles S.L.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rPr>
        <w:color w:val="D5323D"/>
      </w:rPr>
    </w:lvl>
  </w:abstractNum>
  <w:abstractNum w:abstractNumId="3" w15:restartNumberingAfterBreak="0">
    <w:multiLevelType w:val="hybridMultilevel"/>
    <w:lvl w:ilvl="0" w15:tentative="1">
      <w:start w:val="1"/>
      <w:numFmt w:val="lowerLetter"/>
      <w:lvlText w:val="%1)"/>
      <w:lvlJc w:val="left"/>
      <w:pPr>
        <w:ind w:left="600" w:hanging="3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pBdr>
        <w:bottom w:val="single" w:color="D5323D" w:sz="6" w:space="6"/>
      </w:pBdr>
      <w:spacing w:after="140" w:before="300"/>
      <w:outlineLvl w:val="0"/>
    </w:pPr>
    <w:rPr>
      <w:rFonts w:ascii="Arial" w:cs="Arial" w:eastAsia="Arial" w:hAnsi="Arial"/>
      <w:b/>
      <w:bCs/>
      <w:color w:val="D5323D"/>
      <w:sz w:val="26"/>
      <w:szCs w:val="26"/>
    </w:rPr>
  </w:style>
  <w:style w:type="paragraph" w:styleId="Heading2">
    <w:name w:val="Heading 2"/>
    <w:basedOn w:val="Normal"/>
    <w:next w:val="Normal"/>
    <w:qFormat/>
    <w:pPr>
      <w:keepNext/>
      <w:spacing w:after="90" w:before="180"/>
      <w:outlineLvl w:val="1"/>
    </w:pPr>
    <w:rPr>
      <w:rFonts w:ascii="Arial" w:cs="Arial" w:eastAsia="Arial" w:hAnsi="Arial"/>
      <w:b/>
      <w:bCs/>
      <w:color w:val="1A1A1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Marco de Prestación de Servicios — Pumpún Dixital S.L. / DOLMEN Granitos y Mármoles S.L.</dc:title>
  <dc:creator>Pumpún Dixital S.L.</dc:creator>
  <cp:lastModifiedBy>Un-named</cp:lastModifiedBy>
  <cp:revision>1</cp:revision>
  <dcterms:created xsi:type="dcterms:W3CDTF">2026-06-30T09:41:04.201Z</dcterms:created>
  <dcterms:modified xsi:type="dcterms:W3CDTF">2026-06-30T09:41:04.213Z</dcterms:modified>
</cp:coreProperties>
</file>

<file path=docProps/custom.xml><?xml version="1.0" encoding="utf-8"?>
<Properties xmlns="http://schemas.openxmlformats.org/officeDocument/2006/custom-properties" xmlns:vt="http://schemas.openxmlformats.org/officeDocument/2006/docPropsVTypes"/>
</file>