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60" w:before="120"/>
        <w:jc w:val="center"/>
      </w:pPr>
      <w:r>
        <w:rPr>
          <w:b/>
          <w:bCs/>
          <w:color w:val="1A1A1A"/>
          <w:sz w:val="32"/>
          <w:szCs w:val="32"/>
        </w:rPr>
        <w:t xml:space="preserve">ANEXO III</w:t>
      </w:r>
    </w:p>
    <w:p>
      <w:pPr>
        <w:spacing w:after="40"/>
        <w:jc w:val="center"/>
      </w:pPr>
      <w:r>
        <w:rPr>
          <w:b/>
          <w:bCs/>
          <w:color w:val="1A1A1A"/>
          <w:sz w:val="24"/>
          <w:szCs w:val="24"/>
        </w:rPr>
        <w:t xml:space="preserve">CONTRATO DE ENCARGO DE TRATAMIENTO DE DATOS PERSONALES</w:t>
      </w:r>
    </w:p>
    <w:p>
      <w:pPr>
        <w:spacing w:after="60"/>
        <w:jc w:val="center"/>
      </w:pPr>
      <w:r>
        <w:rPr>
          <w:color w:val="595959"/>
          <w:sz w:val="20"/>
          <w:szCs w:val="20"/>
        </w:rPr>
        <w:t xml:space="preserve">(artículo 28 del Reglamento (UE) 2016/679)</w:t>
      </w:r>
    </w:p>
    <w:p>
      <w:pPr>
        <w:pBdr>
          <w:bottom w:val="single" w:color="D5323D" w:sz="8" w:space="8"/>
        </w:pBdr>
        <w:spacing w:after="200"/>
        <w:jc w:val="center"/>
      </w:pPr>
      <w:r>
        <w:rPr>
          <w:sz w:val="4"/>
          <w:szCs w:val="4"/>
        </w:rPr>
        <w:t xml:space="preserve"/>
      </w:r>
    </w:p>
    <w:p>
      <w:pPr>
        <w:spacing w:after="140" w:line="276"/>
        <w:jc w:val="both"/>
      </w:pPr>
      <w:r>
        <w:t xml:space="preserve">El presente Contrato de Encargo de Tratamiento (en adelante, «el Encargo») se suscribe como Anexo III del Acuerdo Marco de Prestación de Servicios de referencia PD-AM-2026-DOLMEN-01, y será de aplicación únicamente cuando, en el marco de una Hoja de Encargo, Pumpún deba tratar datos personales por cuenta de DOLMEN. Sus términos complementan los del Acuerdo Marco, que se mantiene plenamente vigente.</w:t>
      </w:r>
    </w:p>
    <w:p>
      <w:pPr>
        <w:pStyle w:val="Heading1"/>
      </w:pPr>
      <w:r>
        <w:t xml:space="preserve">Reunidos</w:t>
      </w:r>
    </w:p>
    <w:p>
      <w:pPr>
        <w:spacing w:after="140" w:line="276"/>
        <w:jc w:val="both"/>
      </w:pPr>
      <w:r>
        <w:t xml:space="preserve">De una parte, DOLMEN GRANITOS Y MÁRMOLES, S.L., con C.I.F. B36853935 y domicilio en Calle Pontevedra, 4, 4º, 36201 Vigo (Pontevedra), representada por D. David Fernández Sanromán (D.N.I. 36106736W) y Dª. María Noelia Santomé Iglesias (D.N.I. 36118934X), en adelante «el Responsable del Tratamiento» o «el Responsable».</w:t>
      </w:r>
    </w:p>
    <w:p>
      <w:pPr>
        <w:spacing w:after="140" w:line="276"/>
        <w:jc w:val="both"/>
      </w:pPr>
      <w:r>
        <w:t xml:space="preserve">Y de otra parte, PUMPÚN DIXITAL, S.L., con C.I.F. B27757723 y domicilio en Calle Marqués de Valladares, 14, 4-11, 36201 Vigo (Pontevedra), representada por D. José Carlos García Sánchez (D.N.I. 76710308H), en adelante «el Encargado del Tratamiento» o «el Encargado».</w:t>
      </w:r>
    </w:p>
    <w:p>
      <w:pPr>
        <w:spacing w:after="140" w:line="276"/>
        <w:jc w:val="both"/>
      </w:pPr>
      <w:r>
        <w:t xml:space="preserve">Ambas partes reconocen la condición de Responsable a DOLMEN y de Encargado a Pumpún, y acuerdan las siguientes</w:t>
      </w:r>
    </w:p>
    <w:p>
      <w:pPr>
        <w:pStyle w:val="Heading1"/>
      </w:pPr>
      <w:r>
        <w:t xml:space="preserve">Cláusulas</w:t>
      </w:r>
    </w:p>
    <w:p>
      <w:pPr>
        <w:pStyle w:val="Heading2"/>
      </w:pPr>
      <w:r>
        <w:t xml:space="preserve">1. Objeto</w:t>
      </w:r>
    </w:p>
    <w:p>
      <w:pPr>
        <w:spacing w:after="120" w:line="276"/>
        <w:jc w:val="both"/>
      </w:pPr>
      <w:r>
        <w:rPr>
          <w:b/>
          <w:bCs/>
        </w:rPr>
        <w:t xml:space="preserve">1.1. </w:t>
      </w:r>
      <w:r>
        <w:t xml:space="preserve">El presente Encargo regula el tratamiento de datos personales que el Encargado realice por cuenta del Responsable como consecuencia de la prestación de los servicios pactados en las Hojas de Encargo que así lo requieran.</w:t>
      </w:r>
    </w:p>
    <w:p>
      <w:pPr>
        <w:spacing w:after="120" w:line="276"/>
        <w:jc w:val="both"/>
      </w:pPr>
      <w:r>
        <w:rPr>
          <w:b/>
          <w:bCs/>
        </w:rPr>
        <w:t xml:space="preserve">1.2. </w:t>
      </w:r>
      <w:r>
        <w:t xml:space="preserve">El objeto, la naturaleza y la finalidad del tratamiento, así como el tipo de datos personales y las categorías de interesados afectados, se detallan en el Apéndice A del presente documento, que podrá completarse o concretarse en cada Hoja de Encargo.</w:t>
      </w:r>
    </w:p>
    <w:p>
      <w:pPr>
        <w:pStyle w:val="Heading2"/>
      </w:pPr>
      <w:r>
        <w:t xml:space="preserve">2. Duración</w:t>
      </w:r>
    </w:p>
    <w:p>
      <w:pPr>
        <w:spacing w:after="140" w:line="276"/>
        <w:jc w:val="both"/>
      </w:pPr>
      <w:r>
        <w:t xml:space="preserve">El presente Encargo tendrá vigencia mientras Pumpún trate datos personales por cuenta de DOLMEN al amparo del Acuerdo Marco y de sus Hojas de Encargo. Una vez finalizada la prestación, el Encargado actuará conforme a la cláusula 10 (devolución o supresión).</w:t>
      </w:r>
    </w:p>
    <w:p>
      <w:pPr>
        <w:pStyle w:val="Heading2"/>
      </w:pPr>
      <w:r>
        <w:t xml:space="preserve">3. Tratamiento conforme a instrucciones del Responsable</w:t>
      </w:r>
    </w:p>
    <w:p>
      <w:pPr>
        <w:spacing w:after="120" w:line="276"/>
        <w:jc w:val="both"/>
      </w:pPr>
      <w:r>
        <w:rPr>
          <w:b/>
          <w:bCs/>
        </w:rPr>
        <w:t xml:space="preserve">3.1. </w:t>
      </w:r>
      <w:r>
        <w:t xml:space="preserve">El Encargado tratará los datos personales únicamente siguiendo instrucciones documentadas del Responsable, incluso en lo relativo a transferencias internacionales, salvo que esté obligado a ello por el Derecho de la Unión o de los Estados miembros; en tal caso, lo informará al Responsable con carácter previo, salvo prohibición legal.</w:t>
      </w:r>
    </w:p>
    <w:p>
      <w:pPr>
        <w:spacing w:after="120" w:line="276"/>
        <w:jc w:val="both"/>
      </w:pPr>
      <w:r>
        <w:rPr>
          <w:b/>
          <w:bCs/>
        </w:rPr>
        <w:t xml:space="preserve">3.2. </w:t>
      </w:r>
      <w:r>
        <w:t xml:space="preserve">El Encargado informará inmediatamente al Responsable si considera que una instrucción infringe la normativa de protección de datos.</w:t>
      </w:r>
    </w:p>
    <w:p>
      <w:pPr>
        <w:spacing w:after="120" w:line="276"/>
        <w:jc w:val="both"/>
      </w:pPr>
      <w:r>
        <w:rPr>
          <w:b/>
          <w:bCs/>
        </w:rPr>
        <w:t xml:space="preserve">3.3. </w:t>
      </w:r>
      <w:r>
        <w:t xml:space="preserve">El Encargado no destinará los datos a finalidad distinta, ni los conservará, cederá o utilizará para fines propios.</w:t>
      </w:r>
    </w:p>
    <w:p>
      <w:pPr>
        <w:pStyle w:val="Heading2"/>
      </w:pPr>
      <w:r>
        <w:t xml:space="preserve">4. Obligaciones del Encargado</w:t>
      </w:r>
    </w:p>
    <w:p>
      <w:pPr>
        <w:spacing w:after="140" w:line="276"/>
        <w:jc w:val="both"/>
      </w:pPr>
      <w:r>
        <w:t xml:space="preserve">El Encargado se obliga a:</w:t>
      </w:r>
    </w:p>
    <w:p>
      <w:pPr>
        <w:pStyle w:val="ListParagraph"/>
        <w:numPr>
          <w:ilvl w:val="0"/>
          <w:numId w:val="2"/>
        </w:numPr>
        <w:spacing w:after="70" w:line="276"/>
        <w:jc w:val="both"/>
      </w:pPr>
      <w:r>
        <w:t xml:space="preserve">Tratar los datos personales conforme a las instrucciones del Responsable y a la normativa aplicable.</w:t>
      </w:r>
    </w:p>
    <w:p>
      <w:pPr>
        <w:pStyle w:val="ListParagraph"/>
        <w:numPr>
          <w:ilvl w:val="0"/>
          <w:numId w:val="2"/>
        </w:numPr>
        <w:spacing w:after="70" w:line="276"/>
        <w:jc w:val="both"/>
      </w:pPr>
      <w:r>
        <w:t xml:space="preserve">Llevar, por escrito, un registro de las categorías de actividades de tratamiento efectuadas por cuenta del Responsable, conforme al artículo 30.2 del RGPD.</w:t>
      </w:r>
    </w:p>
    <w:p>
      <w:pPr>
        <w:pStyle w:val="ListParagraph"/>
        <w:numPr>
          <w:ilvl w:val="0"/>
          <w:numId w:val="2"/>
        </w:numPr>
        <w:spacing w:after="70" w:line="276"/>
        <w:jc w:val="both"/>
      </w:pPr>
      <w:r>
        <w:t xml:space="preserve">No comunicar los datos a terceros, salvo autorización expresa del Responsable o exigencia legal.</w:t>
      </w:r>
    </w:p>
    <w:p>
      <w:pPr>
        <w:pStyle w:val="ListParagraph"/>
        <w:numPr>
          <w:ilvl w:val="0"/>
          <w:numId w:val="2"/>
        </w:numPr>
        <w:spacing w:after="70" w:line="276"/>
        <w:jc w:val="both"/>
      </w:pPr>
      <w:r>
        <w:t xml:space="preserve">Garantizar que las personas autorizadas para tratar los datos se comprometen a respetar la confidencialidad o están sujetas a una obligación de confidencialidad de naturaleza legal.</w:t>
      </w:r>
    </w:p>
    <w:p>
      <w:pPr>
        <w:pStyle w:val="ListParagraph"/>
        <w:numPr>
          <w:ilvl w:val="0"/>
          <w:numId w:val="2"/>
        </w:numPr>
        <w:spacing w:after="70" w:line="276"/>
        <w:jc w:val="both"/>
      </w:pPr>
      <w:r>
        <w:t xml:space="preserve">Asegurar la formación e información del personal en materia de protección de datos.</w:t>
      </w:r>
    </w:p>
    <w:p>
      <w:pPr>
        <w:pStyle w:val="Heading2"/>
      </w:pPr>
      <w:r>
        <w:t xml:space="preserve">5. Confidencialidad y personal autorizado</w:t>
      </w:r>
    </w:p>
    <w:p>
      <w:pPr>
        <w:spacing w:after="140" w:line="276"/>
        <w:jc w:val="both"/>
      </w:pPr>
      <w:r>
        <w:t xml:space="preserve">El Encargado mantendrá el deber de secreto respecto de los datos personales a los que tenga acceso, obligación que subsistirá tras la finalización del Encargo. El acceso quedará limitado al personal que precise tratarlos para la prestación del servicio.</w:t>
      </w:r>
    </w:p>
    <w:p>
      <w:pPr>
        <w:pStyle w:val="Heading2"/>
      </w:pPr>
      <w:r>
        <w:t xml:space="preserve">6. Medidas de seguridad</w:t>
      </w:r>
    </w:p>
    <w:p>
      <w:pPr>
        <w:spacing w:after="120" w:line="276"/>
        <w:jc w:val="both"/>
      </w:pPr>
      <w:r>
        <w:rPr>
          <w:b/>
          <w:bCs/>
        </w:rPr>
        <w:t xml:space="preserve">6.1. </w:t>
      </w:r>
      <w:r>
        <w:t xml:space="preserve">El Encargado aplicará las medidas técnicas y organizativas apropiadas para garantizar un nivel de seguridad adecuado al riesgo, conforme al artículo 32 del RGPD, atendiendo al estado de la técnica, los costes de aplicación y la naturaleza, alcance, contexto y fines del tratamiento.</w:t>
      </w:r>
    </w:p>
    <w:p>
      <w:pPr>
        <w:spacing w:after="120" w:line="276"/>
        <w:jc w:val="both"/>
      </w:pPr>
      <w:r>
        <w:rPr>
          <w:b/>
          <w:bCs/>
        </w:rPr>
        <w:t xml:space="preserve">6.2. </w:t>
      </w:r>
      <w:r>
        <w:t xml:space="preserve">El Encargado opera bajo certificación del Esquema Nacional de Seguridad (ENS) en Categoría Alta, aplicando, entre otras y según proceda: la seudonimización y el cifrado cuando corresponda, la garantía de confidencialidad, integridad, disponibilidad y resiliencia de los sistemas, la capacidad de restaurar la disponibilidad y el acceso a los datos en caso de incidente, y procesos de verificación y evaluación periódica de la eficacia de las medidas.</w:t>
      </w:r>
    </w:p>
    <w:p>
      <w:pPr>
        <w:spacing w:after="140" w:line="276"/>
        <w:jc w:val="both"/>
      </w:pPr>
      <w:r>
        <w:t xml:space="preserve">Las medidas de seguridad específicas aplicables a cada tratamiento se recogen en el Apéndice B.</w:t>
      </w:r>
    </w:p>
    <w:p>
      <w:pPr>
        <w:pStyle w:val="Heading2"/>
      </w:pPr>
      <w:r>
        <w:t xml:space="preserve">7. Subencargados</w:t>
      </w:r>
    </w:p>
    <w:p>
      <w:pPr>
        <w:spacing w:after="120" w:line="276"/>
        <w:jc w:val="both"/>
      </w:pPr>
      <w:r>
        <w:rPr>
          <w:b/>
          <w:bCs/>
        </w:rPr>
        <w:t xml:space="preserve">7.1. </w:t>
      </w:r>
      <w:r>
        <w:t xml:space="preserve">El Responsable autoriza al Encargado a recurrir a otros encargados (subencargados), incluidos los proveedores de servicios de infraestructura, alojamiento o modelos de inteligencia artificial necesarios para la prestación, conforme a un régimen de autorización general. El Encargado mantendrá una relación actualizada de subencargados a disposición del Responsable e informará de cualquier cambio previsto en su incorporación o sustitución, dando al Responsable la oportunidad de oponerse motivadamente.</w:t>
      </w:r>
    </w:p>
    <w:p>
      <w:pPr>
        <w:spacing w:after="120" w:line="276"/>
        <w:jc w:val="both"/>
      </w:pPr>
      <w:r>
        <w:rPr>
          <w:b/>
          <w:bCs/>
        </w:rPr>
        <w:t xml:space="preserve">7.2. </w:t>
      </w:r>
      <w:r>
        <w:t xml:space="preserve">El Encargado impondrá al subencargado, mediante contrato, las mismas obligaciones de protección de datos que las estipuladas en el presente Encargo, respondiendo frente al Responsable del cumplimiento de aquellas por parte del subencargado.</w:t>
      </w:r>
    </w:p>
    <w:p>
      <w:pPr>
        <w:spacing w:after="120" w:line="276"/>
        <w:jc w:val="both"/>
      </w:pPr>
      <w:r>
        <w:rPr>
          <w:b/>
          <w:bCs/>
        </w:rPr>
        <w:t xml:space="preserve">7.3. </w:t>
      </w:r>
      <w:r>
        <w:t xml:space="preserve">Cuando un subencargado implique una transferencia internacional de datos, se garantizará la existencia de un mecanismo válido conforme al Capítulo V del RGPD (decisión de adecuación, cláusulas contractuales tipo u otras garantías adecuadas).</w:t>
      </w:r>
    </w:p>
    <w:p>
      <w:pPr>
        <w:pStyle w:val="Heading2"/>
      </w:pPr>
      <w:r>
        <w:t xml:space="preserve">8. Asistencia al Responsable</w:t>
      </w:r>
    </w:p>
    <w:p>
      <w:pPr>
        <w:spacing w:after="120" w:line="276"/>
        <w:jc w:val="both"/>
      </w:pPr>
      <w:r>
        <w:rPr>
          <w:b/>
          <w:bCs/>
        </w:rPr>
        <w:t xml:space="preserve">8.1. </w:t>
      </w:r>
      <w:r>
        <w:t xml:space="preserve">El Encargado asistirá al Responsable, teniendo en cuenta la naturaleza del tratamiento, para que pueda atender las solicitudes de ejercicio de derechos de los interesados (acceso, rectificación, supresión, oposición, limitación y portabilidad). Cuando los interesados se dirijan al Encargado, este lo comunicará al Responsable a la mayor brevedad.</w:t>
      </w:r>
    </w:p>
    <w:p>
      <w:pPr>
        <w:spacing w:after="120" w:line="276"/>
        <w:jc w:val="both"/>
      </w:pPr>
      <w:r>
        <w:rPr>
          <w:b/>
          <w:bCs/>
        </w:rPr>
        <w:t xml:space="preserve">8.2. </w:t>
      </w:r>
      <w:r>
        <w:t xml:space="preserve">El Encargado asistirá al Responsable en la realización de evaluaciones de impacto relativas a la protección de datos y, en su caso, en las consultas previas a la autoridad de control, así como en el cumplimiento de las obligaciones de seguridad y de notificación de violaciones de seguridad.</w:t>
      </w:r>
    </w:p>
    <w:p>
      <w:pPr>
        <w:pStyle w:val="Heading2"/>
      </w:pPr>
      <w:r>
        <w:t xml:space="preserve">9. Notificación de violaciones de seguridad</w:t>
      </w:r>
    </w:p>
    <w:p>
      <w:pPr>
        <w:spacing w:after="140" w:line="276"/>
        <w:jc w:val="both"/>
      </w:pPr>
      <w:r>
        <w:t xml:space="preserve">El Encargado notificará al Responsable, sin dilación indebida y, en la medida de lo posible, en un plazo no superior a cuarenta y ocho (48) horas desde que tenga conocimiento de ellas, las violaciones de la seguridad de los datos personales, facilitando la información relevante para su documentación y, en su caso, su comunicación a la autoridad de control y a los interesados.</w:t>
      </w:r>
    </w:p>
    <w:p>
      <w:pPr>
        <w:pStyle w:val="Heading2"/>
      </w:pPr>
      <w:r>
        <w:t xml:space="preserve">10. Devolución o supresión de los datos</w:t>
      </w:r>
    </w:p>
    <w:p>
      <w:pPr>
        <w:spacing w:after="140" w:line="276"/>
        <w:jc w:val="both"/>
      </w:pPr>
      <w:r>
        <w:t xml:space="preserve">Finalizada la prestación, el Encargado, a elección del Responsable, devolverá o suprimirá todos los datos personales y las copias existentes, salvo que el Derecho de la Unión o nacional exija su conservación, en cuyo caso bloqueará los datos durante el tiempo legalmente previsto.</w:t>
      </w:r>
    </w:p>
    <w:p>
      <w:pPr>
        <w:pStyle w:val="Heading2"/>
      </w:pPr>
      <w:r>
        <w:t xml:space="preserve">11. Auditoría</w:t>
      </w:r>
    </w:p>
    <w:p>
      <w:pPr>
        <w:spacing w:after="140" w:line="276"/>
        <w:jc w:val="both"/>
      </w:pPr>
      <w:r>
        <w:t xml:space="preserve">El Encargado pondrá a disposición del Responsable la información necesaria para demostrar el cumplimiento de sus obligaciones y permitirá y contribuirá a la realización de auditorías, incluidas inspecciones, por parte del Responsable o de un auditor por él autorizado, con preaviso razonable y sin comprometer la seguridad o la confidencialidad de otros clientes del Encargado.</w:t>
      </w:r>
    </w:p>
    <w:p>
      <w:pPr>
        <w:pStyle w:val="Heading2"/>
      </w:pPr>
      <w:r>
        <w:t xml:space="preserve">12. Responsabilidad</w:t>
      </w:r>
    </w:p>
    <w:p>
      <w:pPr>
        <w:spacing w:after="140" w:line="276"/>
        <w:jc w:val="both"/>
      </w:pPr>
      <w:r>
        <w:t xml:space="preserve">El régimen de responsabilidad será el previsto en el artículo 82 del RGPD y en la cláusula de responsabilidad del Acuerdo Marco. El Encargado responderá de los daños y perjuicios causados por un tratamiento que infrinja la normativa por causa imputable a él o por incumplir las instrucciones lícitas del Responsable.</w:t>
      </w:r>
    </w:p>
    <w:p>
      <w:pPr>
        <w:pStyle w:val="Heading1"/>
        <w:pageBreakBefore/>
      </w:pPr>
      <w:r>
        <w:t xml:space="preserve">Apéndice A — Descripción del tratamiento</w:t>
      </w:r>
    </w:p>
    <w:p>
      <w:pPr>
        <w:spacing w:after="140" w:line="276"/>
        <w:jc w:val="both"/>
      </w:pPr>
      <w:r>
        <w:rPr>
          <w:i/>
          <w:iCs/>
        </w:rPr>
        <w:t xml:space="preserve">Los datos consignados en este apéndice tienen carácter general y se concretarán, cuando proceda, en la Hoja de Encargo correspondiente.</w:t>
      </w:r>
    </w:p>
    <w:tbl>
      <w:tblPr>
        <w:tblW w:type="dxa" w:w="9026"/>
        <w:tblBorders>
          <w:top w:val="single" w:color="auto" w:sz="4"/>
          <w:left w:val="single" w:color="auto" w:sz="4"/>
          <w:bottom w:val="single" w:color="auto" w:sz="4"/>
          <w:right w:val="single" w:color="auto" w:sz="4"/>
          <w:insideH w:val="single" w:color="auto" w:sz="4"/>
          <w:insideV w:val="single" w:color="auto" w:sz="4"/>
        </w:tblBorders>
      </w:tblPr>
      <w:tblGrid>
        <w:gridCol w:w="3000"/>
        <w:gridCol w:w="6026"/>
      </w:tblGrid>
      <w:tr>
        <w:tc>
          <w:tcPr>
            <w:tcW w:type="dxa" w:w="3000"/>
            <w:tcBorders>
              <w:top w:val="single" w:color="CCCCCC" w:sz="1"/>
              <w:left w:val="single" w:color="CCCCCC" w:sz="1"/>
              <w:bottom w:val="single" w:color="CCCCCC" w:sz="1"/>
              <w:right w:val="single" w:color="CCCCCC" w:sz="1"/>
            </w:tcBorders>
            <w:shd w:fill="FBEAEB" w:val="clear"/>
            <w:tcMar>
              <w:top w:type="dxa" w:w="90"/>
              <w:left w:type="dxa" w:w="140"/>
              <w:bottom w:type="dxa" w:w="90"/>
              <w:right w:type="dxa" w:w="140"/>
            </w:tcMar>
            <w:vAlign w:val="center"/>
          </w:tcPr>
          <w:p>
            <w:r>
              <w:rPr>
                <w:b/>
                <w:bCs/>
                <w:sz w:val="20"/>
                <w:szCs w:val="20"/>
              </w:rPr>
              <w:t xml:space="preserve">Objeto del tratamiento</w:t>
            </w:r>
          </w:p>
        </w:tc>
        <w:tc>
          <w:tcPr>
            <w:tcW w:type="dxa" w:w="6026"/>
            <w:tcBorders>
              <w:top w:val="single" w:color="CCCCCC" w:sz="1"/>
              <w:left w:val="single" w:color="CCCCCC" w:sz="1"/>
              <w:bottom w:val="single" w:color="CCCCCC" w:sz="1"/>
              <w:right w:val="single" w:color="CCCCCC" w:sz="1"/>
            </w:tcBorders>
            <w:tcMar>
              <w:top w:type="dxa" w:w="90"/>
              <w:left w:type="dxa" w:w="140"/>
              <w:bottom w:type="dxa" w:w="90"/>
              <w:right w:type="dxa" w:w="140"/>
            </w:tcMar>
            <w:vAlign w:val="center"/>
          </w:tcPr>
          <w:p>
            <w:r>
              <w:rPr>
                <w:b w:val="false"/>
                <w:bCs w:val="false"/>
                <w:sz w:val="20"/>
                <w:szCs w:val="20"/>
              </w:rPr>
              <w:t xml:space="preserve">Tratamiento de datos personales necesario para la prestación de los servicios de consultoría, diseño, desarrollo, implantación y soporte de soluciones de IA y automatización contratados por el Responsable.</w:t>
            </w:r>
          </w:p>
        </w:tc>
      </w:tr>
      <w:tr>
        <w:tc>
          <w:tcPr>
            <w:tcW w:type="dxa" w:w="3000"/>
            <w:tcBorders>
              <w:top w:val="single" w:color="CCCCCC" w:sz="1"/>
              <w:left w:val="single" w:color="CCCCCC" w:sz="1"/>
              <w:bottom w:val="single" w:color="CCCCCC" w:sz="1"/>
              <w:right w:val="single" w:color="CCCCCC" w:sz="1"/>
            </w:tcBorders>
            <w:shd w:fill="FBEAEB" w:val="clear"/>
            <w:tcMar>
              <w:top w:type="dxa" w:w="90"/>
              <w:left w:type="dxa" w:w="140"/>
              <w:bottom w:type="dxa" w:w="90"/>
              <w:right w:type="dxa" w:w="140"/>
            </w:tcMar>
            <w:vAlign w:val="center"/>
          </w:tcPr>
          <w:p>
            <w:r>
              <w:rPr>
                <w:b/>
                <w:bCs/>
                <w:sz w:val="20"/>
                <w:szCs w:val="20"/>
              </w:rPr>
              <w:t xml:space="preserve">Naturaleza</w:t>
            </w:r>
          </w:p>
        </w:tc>
        <w:tc>
          <w:tcPr>
            <w:tcW w:type="dxa" w:w="6026"/>
            <w:tcBorders>
              <w:top w:val="single" w:color="CCCCCC" w:sz="1"/>
              <w:left w:val="single" w:color="CCCCCC" w:sz="1"/>
              <w:bottom w:val="single" w:color="CCCCCC" w:sz="1"/>
              <w:right w:val="single" w:color="CCCCCC" w:sz="1"/>
            </w:tcBorders>
            <w:tcMar>
              <w:top w:type="dxa" w:w="90"/>
              <w:left w:type="dxa" w:w="140"/>
              <w:bottom w:type="dxa" w:w="90"/>
              <w:right w:type="dxa" w:w="140"/>
            </w:tcMar>
            <w:vAlign w:val="center"/>
          </w:tcPr>
          <w:p>
            <w:r>
              <w:rPr>
                <w:b w:val="false"/>
                <w:bCs w:val="false"/>
                <w:sz w:val="20"/>
                <w:szCs w:val="20"/>
              </w:rPr>
              <w:t xml:space="preserve">Recogida, registro, organización, estructuración, conservación, consulta, uso y, en su caso, supresión, según las instrucciones del Responsable.</w:t>
            </w:r>
          </w:p>
        </w:tc>
      </w:tr>
      <w:tr>
        <w:tc>
          <w:tcPr>
            <w:tcW w:type="dxa" w:w="3000"/>
            <w:tcBorders>
              <w:top w:val="single" w:color="CCCCCC" w:sz="1"/>
              <w:left w:val="single" w:color="CCCCCC" w:sz="1"/>
              <w:bottom w:val="single" w:color="CCCCCC" w:sz="1"/>
              <w:right w:val="single" w:color="CCCCCC" w:sz="1"/>
            </w:tcBorders>
            <w:shd w:fill="FBEAEB" w:val="clear"/>
            <w:tcMar>
              <w:top w:type="dxa" w:w="90"/>
              <w:left w:type="dxa" w:w="140"/>
              <w:bottom w:type="dxa" w:w="90"/>
              <w:right w:type="dxa" w:w="140"/>
            </w:tcMar>
            <w:vAlign w:val="center"/>
          </w:tcPr>
          <w:p>
            <w:r>
              <w:rPr>
                <w:b/>
                <w:bCs/>
                <w:sz w:val="20"/>
                <w:szCs w:val="20"/>
              </w:rPr>
              <w:t xml:space="preserve">Finalidad</w:t>
            </w:r>
          </w:p>
        </w:tc>
        <w:tc>
          <w:tcPr>
            <w:tcW w:type="dxa" w:w="6026"/>
            <w:tcBorders>
              <w:top w:val="single" w:color="CCCCCC" w:sz="1"/>
              <w:left w:val="single" w:color="CCCCCC" w:sz="1"/>
              <w:bottom w:val="single" w:color="CCCCCC" w:sz="1"/>
              <w:right w:val="single" w:color="CCCCCC" w:sz="1"/>
            </w:tcBorders>
            <w:tcMar>
              <w:top w:type="dxa" w:w="90"/>
              <w:left w:type="dxa" w:w="140"/>
              <w:bottom w:type="dxa" w:w="90"/>
              <w:right w:type="dxa" w:w="140"/>
            </w:tcMar>
            <w:vAlign w:val="center"/>
          </w:tcPr>
          <w:p>
            <w:r>
              <w:rPr>
                <w:b w:val="false"/>
                <w:bCs w:val="false"/>
                <w:sz w:val="20"/>
                <w:szCs w:val="20"/>
              </w:rPr>
              <w:t xml:space="preserve">Exclusivamente la ejecución de los servicios pactados, sin uso para finalidades propias del Encargado.</w:t>
            </w:r>
          </w:p>
        </w:tc>
      </w:tr>
      <w:tr>
        <w:tc>
          <w:tcPr>
            <w:tcW w:type="dxa" w:w="3000"/>
            <w:tcBorders>
              <w:top w:val="single" w:color="CCCCCC" w:sz="1"/>
              <w:left w:val="single" w:color="CCCCCC" w:sz="1"/>
              <w:bottom w:val="single" w:color="CCCCCC" w:sz="1"/>
              <w:right w:val="single" w:color="CCCCCC" w:sz="1"/>
            </w:tcBorders>
            <w:shd w:fill="FBEAEB" w:val="clear"/>
            <w:tcMar>
              <w:top w:type="dxa" w:w="90"/>
              <w:left w:type="dxa" w:w="140"/>
              <w:bottom w:type="dxa" w:w="90"/>
              <w:right w:type="dxa" w:w="140"/>
            </w:tcMar>
            <w:vAlign w:val="center"/>
          </w:tcPr>
          <w:p>
            <w:r>
              <w:rPr>
                <w:b/>
                <w:bCs/>
                <w:sz w:val="20"/>
                <w:szCs w:val="20"/>
              </w:rPr>
              <w:t xml:space="preserve">Tipos de datos</w:t>
            </w:r>
          </w:p>
        </w:tc>
        <w:tc>
          <w:tcPr>
            <w:tcW w:type="dxa" w:w="6026"/>
            <w:tcBorders>
              <w:top w:val="single" w:color="CCCCCC" w:sz="1"/>
              <w:left w:val="single" w:color="CCCCCC" w:sz="1"/>
              <w:bottom w:val="single" w:color="CCCCCC" w:sz="1"/>
              <w:right w:val="single" w:color="CCCCCC" w:sz="1"/>
            </w:tcBorders>
            <w:tcMar>
              <w:top w:type="dxa" w:w="90"/>
              <w:left w:type="dxa" w:w="140"/>
              <w:bottom w:type="dxa" w:w="90"/>
              <w:right w:type="dxa" w:w="140"/>
            </w:tcMar>
            <w:vAlign w:val="center"/>
          </w:tcPr>
          <w:p>
            <w:r>
              <w:rPr>
                <w:b w:val="false"/>
                <w:bCs w:val="false"/>
                <w:sz w:val="20"/>
                <w:szCs w:val="20"/>
              </w:rPr>
              <w:t xml:space="preserve">A concretar en cada Hoja de Encargo. Con carácter orientativo, pueden incluir:</w:t>
            </w:r>
          </w:p>
          <w:p>
            <w:r>
              <w:rPr>
                <w:b w:val="false"/>
                <w:bCs w:val="false"/>
                <w:sz w:val="20"/>
                <w:szCs w:val="20"/>
              </w:rPr>
              <w:t xml:space="preserve">· Datos identificativos y de contacto (nombre, cargo, teléfono, correo).</w:t>
            </w:r>
          </w:p>
          <w:p>
            <w:r>
              <w:rPr>
                <w:b w:val="false"/>
                <w:bCs w:val="false"/>
                <w:sz w:val="20"/>
                <w:szCs w:val="20"/>
              </w:rPr>
              <w:t xml:space="preserve">· Datos profesionales y laborales del personal del Responsable.</w:t>
            </w:r>
          </w:p>
          <w:p>
            <w:r>
              <w:rPr>
                <w:b w:val="false"/>
                <w:bCs w:val="false"/>
                <w:sz w:val="20"/>
                <w:szCs w:val="20"/>
              </w:rPr>
              <w:t xml:space="preserve">· Datos de clientes y proveedores presentes en los sistemas del Responsable.</w:t>
            </w:r>
          </w:p>
          <w:p>
            <w:r>
              <w:rPr>
                <w:b w:val="false"/>
                <w:bCs w:val="false"/>
                <w:sz w:val="20"/>
                <w:szCs w:val="20"/>
              </w:rPr>
              <w:t xml:space="preserve">No está previsto el tratamiento de categorías especiales de datos (art. 9 RGPD), salvo que se acuerde expresamente.</w:t>
            </w:r>
          </w:p>
        </w:tc>
      </w:tr>
      <w:tr>
        <w:tc>
          <w:tcPr>
            <w:tcW w:type="dxa" w:w="3000"/>
            <w:tcBorders>
              <w:top w:val="single" w:color="CCCCCC" w:sz="1"/>
              <w:left w:val="single" w:color="CCCCCC" w:sz="1"/>
              <w:bottom w:val="single" w:color="CCCCCC" w:sz="1"/>
              <w:right w:val="single" w:color="CCCCCC" w:sz="1"/>
            </w:tcBorders>
            <w:shd w:fill="FBEAEB" w:val="clear"/>
            <w:tcMar>
              <w:top w:type="dxa" w:w="90"/>
              <w:left w:type="dxa" w:w="140"/>
              <w:bottom w:type="dxa" w:w="90"/>
              <w:right w:type="dxa" w:w="140"/>
            </w:tcMar>
            <w:vAlign w:val="center"/>
          </w:tcPr>
          <w:p>
            <w:r>
              <w:rPr>
                <w:b/>
                <w:bCs/>
                <w:sz w:val="20"/>
                <w:szCs w:val="20"/>
              </w:rPr>
              <w:t xml:space="preserve">Categorías de interesados</w:t>
            </w:r>
          </w:p>
        </w:tc>
        <w:tc>
          <w:tcPr>
            <w:tcW w:type="dxa" w:w="6026"/>
            <w:tcBorders>
              <w:top w:val="single" w:color="CCCCCC" w:sz="1"/>
              <w:left w:val="single" w:color="CCCCCC" w:sz="1"/>
              <w:bottom w:val="single" w:color="CCCCCC" w:sz="1"/>
              <w:right w:val="single" w:color="CCCCCC" w:sz="1"/>
            </w:tcBorders>
            <w:tcMar>
              <w:top w:type="dxa" w:w="90"/>
              <w:left w:type="dxa" w:w="140"/>
              <w:bottom w:type="dxa" w:w="90"/>
              <w:right w:type="dxa" w:w="140"/>
            </w:tcMar>
            <w:vAlign w:val="center"/>
          </w:tcPr>
          <w:p>
            <w:r>
              <w:rPr>
                <w:b w:val="false"/>
                <w:bCs w:val="false"/>
                <w:sz w:val="20"/>
                <w:szCs w:val="20"/>
              </w:rPr>
              <w:t xml:space="preserve">Empleados, colaboradores, clientes y proveedores del Responsable, según el alcance de cada encargo.</w:t>
            </w:r>
          </w:p>
        </w:tc>
      </w:tr>
      <w:tr>
        <w:tc>
          <w:tcPr>
            <w:tcW w:type="dxa" w:w="3000"/>
            <w:tcBorders>
              <w:top w:val="single" w:color="CCCCCC" w:sz="1"/>
              <w:left w:val="single" w:color="CCCCCC" w:sz="1"/>
              <w:bottom w:val="single" w:color="CCCCCC" w:sz="1"/>
              <w:right w:val="single" w:color="CCCCCC" w:sz="1"/>
            </w:tcBorders>
            <w:shd w:fill="FBEAEB" w:val="clear"/>
            <w:tcMar>
              <w:top w:type="dxa" w:w="90"/>
              <w:left w:type="dxa" w:w="140"/>
              <w:bottom w:type="dxa" w:w="90"/>
              <w:right w:type="dxa" w:w="140"/>
            </w:tcMar>
            <w:vAlign w:val="center"/>
          </w:tcPr>
          <w:p>
            <w:r>
              <w:rPr>
                <w:b/>
                <w:bCs/>
                <w:sz w:val="20"/>
                <w:szCs w:val="20"/>
              </w:rPr>
              <w:t xml:space="preserve">Duración</w:t>
            </w:r>
          </w:p>
        </w:tc>
        <w:tc>
          <w:tcPr>
            <w:tcW w:type="dxa" w:w="6026"/>
            <w:tcBorders>
              <w:top w:val="single" w:color="CCCCCC" w:sz="1"/>
              <w:left w:val="single" w:color="CCCCCC" w:sz="1"/>
              <w:bottom w:val="single" w:color="CCCCCC" w:sz="1"/>
              <w:right w:val="single" w:color="CCCCCC" w:sz="1"/>
            </w:tcBorders>
            <w:tcMar>
              <w:top w:type="dxa" w:w="90"/>
              <w:left w:type="dxa" w:w="140"/>
              <w:bottom w:type="dxa" w:w="90"/>
              <w:right w:type="dxa" w:w="140"/>
            </w:tcMar>
            <w:vAlign w:val="center"/>
          </w:tcPr>
          <w:p>
            <w:r>
              <w:rPr>
                <w:b w:val="false"/>
                <w:bCs w:val="false"/>
                <w:sz w:val="20"/>
                <w:szCs w:val="20"/>
              </w:rPr>
              <w:t xml:space="preserve">La de la prestación de los servicios que requieran el tratamiento, conforme a la cláusula 2.</w:t>
            </w:r>
          </w:p>
        </w:tc>
      </w:tr>
    </w:tbl>
    <w:p>
      <w:pPr>
        <w:pStyle w:val="Heading1"/>
      </w:pPr>
      <w:r>
        <w:t xml:space="preserve">Apéndice B — Medidas técnicas y organizativas</w:t>
      </w:r>
    </w:p>
    <w:p>
      <w:pPr>
        <w:spacing w:after="140" w:line="276"/>
        <w:jc w:val="both"/>
      </w:pPr>
      <w:r>
        <w:t xml:space="preserve">El Encargado aplicará, según proceda al tratamiento concreto, las siguientes categorías de medidas, en coherencia con su certificación ENS Categoría Alta:</w:t>
      </w:r>
    </w:p>
    <w:p>
      <w:pPr>
        <w:pStyle w:val="ListParagraph"/>
        <w:numPr>
          <w:ilvl w:val="0"/>
          <w:numId w:val="3"/>
        </w:numPr>
        <w:spacing w:after="70" w:line="276"/>
        <w:jc w:val="both"/>
      </w:pPr>
      <w:r>
        <w:t xml:space="preserve">Control de acceso a sistemas e información, con autenticación robusta y gestión de privilegios mínimos.</w:t>
      </w:r>
    </w:p>
    <w:p>
      <w:pPr>
        <w:pStyle w:val="ListParagraph"/>
        <w:numPr>
          <w:ilvl w:val="0"/>
          <w:numId w:val="3"/>
        </w:numPr>
        <w:spacing w:after="70" w:line="276"/>
        <w:jc w:val="both"/>
      </w:pPr>
      <w:r>
        <w:t xml:space="preserve">Cifrado de datos en tránsito y, cuando corresponda, en reposo; y seudonimización cuando sea aplicable.</w:t>
      </w:r>
    </w:p>
    <w:p>
      <w:pPr>
        <w:pStyle w:val="ListParagraph"/>
        <w:numPr>
          <w:ilvl w:val="0"/>
          <w:numId w:val="3"/>
        </w:numPr>
        <w:spacing w:after="70" w:line="276"/>
        <w:jc w:val="both"/>
      </w:pPr>
      <w:r>
        <w:t xml:space="preserve">Registro de actividad y trazabilidad de accesos y operaciones sobre los datos.</w:t>
      </w:r>
    </w:p>
    <w:p>
      <w:pPr>
        <w:pStyle w:val="ListParagraph"/>
        <w:numPr>
          <w:ilvl w:val="0"/>
          <w:numId w:val="3"/>
        </w:numPr>
        <w:spacing w:after="70" w:line="276"/>
        <w:jc w:val="both"/>
      </w:pPr>
      <w:r>
        <w:t xml:space="preserve">Copias de seguridad y procedimientos de recuperación que garanticen la disponibilidad y resiliencia.</w:t>
      </w:r>
    </w:p>
    <w:p>
      <w:pPr>
        <w:pStyle w:val="ListParagraph"/>
        <w:numPr>
          <w:ilvl w:val="0"/>
          <w:numId w:val="3"/>
        </w:numPr>
        <w:spacing w:after="70" w:line="276"/>
        <w:jc w:val="both"/>
      </w:pPr>
      <w:r>
        <w:t xml:space="preserve">Gestión de vulnerabilidades, actualizaciones de seguridad y protección frente a código dañino.</w:t>
      </w:r>
    </w:p>
    <w:p>
      <w:pPr>
        <w:pStyle w:val="ListParagraph"/>
        <w:numPr>
          <w:ilvl w:val="0"/>
          <w:numId w:val="3"/>
        </w:numPr>
        <w:spacing w:after="70" w:line="276"/>
        <w:jc w:val="both"/>
      </w:pPr>
      <w:r>
        <w:t xml:space="preserve">Procedimientos de gestión de incidentes y de notificación de violaciones de seguridad.</w:t>
      </w:r>
    </w:p>
    <w:p>
      <w:pPr>
        <w:pStyle w:val="ListParagraph"/>
        <w:numPr>
          <w:ilvl w:val="0"/>
          <w:numId w:val="3"/>
        </w:numPr>
        <w:spacing w:after="70" w:line="276"/>
        <w:jc w:val="both"/>
      </w:pPr>
      <w:r>
        <w:t xml:space="preserve">Formación y obligación de confidencialidad del personal autorizado.</w:t>
      </w:r>
    </w:p>
    <w:p>
      <w:pPr>
        <w:pStyle w:val="ListParagraph"/>
        <w:numPr>
          <w:ilvl w:val="0"/>
          <w:numId w:val="3"/>
        </w:numPr>
        <w:spacing w:after="70" w:line="276"/>
        <w:jc w:val="both"/>
      </w:pPr>
      <w:r>
        <w:t xml:space="preserve">Evaluación y revisión periódica de la eficacia de las medidas implantadas.</w:t>
      </w:r>
    </w:p>
    <w:p>
      <w:pPr>
        <w:pStyle w:val="Heading1"/>
      </w:pPr>
      <w:r>
        <w:t xml:space="preserve">Firmas</w:t>
      </w:r>
    </w:p>
    <w:p>
      <w:pPr>
        <w:spacing w:after="140" w:line="276"/>
        <w:jc w:val="both"/>
      </w:pPr>
      <w:r>
        <w:t xml:space="preserve">Y en prueba de conformidad, las partes firman el presente Anexo III, que se incorpora al Acuerdo Marco de referencia.</w:t>
      </w:r>
    </w:p>
    <w:p>
      <w:pPr>
        <w:spacing w:before="200"/>
      </w:pPr>
      <w:r>
        <w:t xml:space="preserve"/>
      </w:r>
    </w:p>
    <w:tbl>
      <w:tblPr>
        <w:tblW w:type="dxa" w:w="9026"/>
        <w:tblBorders>
          <w:top w:val="single" w:color="auto" w:sz="4"/>
          <w:left w:val="single" w:color="auto" w:sz="4"/>
          <w:bottom w:val="single" w:color="auto" w:sz="4"/>
          <w:right w:val="single" w:color="auto" w:sz="4"/>
          <w:insideH w:val="single" w:color="auto" w:sz="4"/>
          <w:insideV w:val="single" w:color="auto" w:sz="4"/>
        </w:tblBorders>
      </w:tblPr>
      <w:tblGrid>
        <w:gridCol w:w="4513"/>
        <w:gridCol w:w="4513"/>
      </w:tblGrid>
      <w:tr>
        <w:tc>
          <w:tcPr>
            <w:tcW w:type="dxa" w:w="4513"/>
            <w:tcBorders>
              <w:top w:val="single" w:color="CCCCCC" w:sz="1"/>
              <w:left w:val="single" w:color="CCCCCC" w:sz="1"/>
              <w:bottom w:val="single" w:color="CCCCCC" w:sz="1"/>
              <w:right w:val="single" w:color="CCCCCC" w:sz="1"/>
            </w:tcBorders>
            <w:tcMar>
              <w:top w:type="dxa" w:w="90"/>
              <w:left w:type="dxa" w:w="140"/>
              <w:bottom w:type="dxa" w:w="90"/>
              <w:right w:type="dxa" w:w="140"/>
            </w:tcMar>
          </w:tcPr>
          <w:p>
            <w:pPr>
              <w:spacing w:after="60"/>
            </w:pPr>
            <w:r>
              <w:rPr>
                <w:b/>
                <w:bCs/>
                <w:sz w:val="20"/>
                <w:szCs w:val="20"/>
              </w:rPr>
              <w:t xml:space="preserve">El Encargado — PUMPÚN DIXITAL, S.L.</w:t>
            </w:r>
          </w:p>
          <w:p>
            <w:pPr>
              <w:spacing w:before="800"/>
            </w:pPr>
            <w:r>
              <w:rPr>
                <w:sz w:val="20"/>
                <w:szCs w:val="20"/>
              </w:rPr>
              <w:t xml:space="preserve">Fdo.: ____________________</w:t>
            </w:r>
          </w:p>
          <w:p>
            <w:r>
              <w:rPr>
                <w:sz w:val="20"/>
                <w:szCs w:val="20"/>
              </w:rPr>
              <w:t xml:space="preserve">Nombre: José Carlos García Sánchez</w:t>
            </w:r>
          </w:p>
          <w:p>
            <w:r>
              <w:rPr>
                <w:sz w:val="20"/>
                <w:szCs w:val="20"/>
              </w:rPr>
              <w:t xml:space="preserve">D.N.I.: 76710308H</w:t>
            </w:r>
          </w:p>
          <w:p>
            <w:r>
              <w:rPr>
                <w:sz w:val="20"/>
                <w:szCs w:val="20"/>
              </w:rPr>
              <w:t xml:space="preserve">Fecha:</w:t>
            </w:r>
          </w:p>
        </w:tc>
        <w:tc>
          <w:tcPr>
            <w:tcW w:type="dxa" w:w="4513"/>
            <w:tcBorders>
              <w:top w:val="single" w:color="CCCCCC" w:sz="1"/>
              <w:left w:val="single" w:color="CCCCCC" w:sz="1"/>
              <w:bottom w:val="single" w:color="CCCCCC" w:sz="1"/>
              <w:right w:val="single" w:color="CCCCCC" w:sz="1"/>
            </w:tcBorders>
            <w:tcMar>
              <w:top w:type="dxa" w:w="90"/>
              <w:left w:type="dxa" w:w="140"/>
              <w:bottom w:type="dxa" w:w="90"/>
              <w:right w:type="dxa" w:w="140"/>
            </w:tcMar>
          </w:tcPr>
          <w:p>
            <w:pPr>
              <w:spacing w:after="60"/>
            </w:pPr>
            <w:r>
              <w:rPr>
                <w:b/>
                <w:bCs/>
                <w:sz w:val="20"/>
                <w:szCs w:val="20"/>
              </w:rPr>
              <w:t xml:space="preserve">El Responsable — DOLMEN GRANITOS Y MÁRMOLES, S.L.</w:t>
            </w:r>
          </w:p>
          <w:p>
            <w:pPr>
              <w:spacing w:before="700"/>
            </w:pPr>
            <w:r>
              <w:rPr>
                <w:sz w:val="20"/>
                <w:szCs w:val="20"/>
              </w:rPr>
              <w:t xml:space="preserve">Fdo.: ____________________</w:t>
            </w:r>
          </w:p>
          <w:p>
            <w:r>
              <w:rPr>
                <w:sz w:val="20"/>
                <w:szCs w:val="20"/>
              </w:rPr>
              <w:t xml:space="preserve">Nombre: David Fernández Sanromán</w:t>
            </w:r>
          </w:p>
          <w:p>
            <w:r>
              <w:rPr>
                <w:sz w:val="20"/>
                <w:szCs w:val="20"/>
              </w:rPr>
              <w:t xml:space="preserve">D.N.I.: 36106736W</w:t>
            </w:r>
          </w:p>
          <w:p>
            <w:pPr>
              <w:spacing w:before="400"/>
            </w:pPr>
            <w:r>
              <w:rPr>
                <w:sz w:val="20"/>
                <w:szCs w:val="20"/>
              </w:rPr>
              <w:t xml:space="preserve">Fdo.: ____________________</w:t>
            </w:r>
          </w:p>
          <w:p>
            <w:r>
              <w:rPr>
                <w:sz w:val="20"/>
                <w:szCs w:val="20"/>
              </w:rPr>
              <w:t xml:space="preserve">Nombre: María Noelia Santomé Iglesias</w:t>
            </w:r>
          </w:p>
          <w:p>
            <w:r>
              <w:rPr>
                <w:sz w:val="20"/>
                <w:szCs w:val="20"/>
              </w:rPr>
              <w:t xml:space="preserve">D.N.I.: 36118934X</w:t>
            </w:r>
          </w:p>
        </w:tc>
      </w:tr>
    </w:tbl>
    <w:sectPr>
      <w:headerReference w:type="default" r:id="rId7"/>
      <w:footerReference w:type="default" r:id="rId8"/>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DDDDDD" w:sz="4" w:space="4"/>
      </w:pBdr>
      <w:tabs>
        <w:tab w:val="right" w:pos="9026"/>
      </w:tabs>
    </w:pPr>
    <w:r>
      <w:rPr>
        <w:color w:val="595959"/>
        <w:sz w:val="15"/>
        <w:szCs w:val="15"/>
      </w:rPr>
      <w:t xml:space="preserve">Documento confidencial · Ref. PD-CET-2026-DOLMEN-01</w:t>
    </w:r>
    <w:r>
      <w:rPr>
        <w:color w:val="595959"/>
        <w:sz w:val="15"/>
        <w:szCs w:val="15"/>
      </w:rPr>
      <w:t xml:space="preserve">	Página </w:t>
    </w:r>
    <w:r>
      <w:rPr>
        <w:color w:val="595959"/>
        <w:sz w:val="15"/>
        <w:szCs w:val="15"/>
      </w:rPr>
      <w:fldChar w:fldCharType="begin"/>
      <w:instrText xml:space="preserve">PAGE</w:instrText>
      <w:fldChar w:fldCharType="separate"/>
      <w:fldChar w:fldCharType="end"/>
    </w:r>
    <w:r>
      <w:rPr>
        <w:color w:val="595959"/>
        <w:sz w:val="15"/>
        <w:szCs w:val="15"/>
      </w:rPr>
      <w:t xml:space="preserve"> de </w:t>
    </w:r>
    <w:r>
      <w:rPr>
        <w:color w:val="595959"/>
        <w:sz w:val="15"/>
        <w:szCs w:val="15"/>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pBdr>
        <w:bottom w:val="single" w:color="DDDDDD" w:sz="4" w:space="4"/>
      </w:pBdr>
      <w:tabs>
        <w:tab w:val="right" w:pos="9026"/>
      </w:tabs>
    </w:pPr>
    <w:r>
      <w:rPr>
        <w:b/>
        <w:bCs/>
        <w:color w:val="595959"/>
        <w:sz w:val="15"/>
        <w:szCs w:val="15"/>
      </w:rPr>
      <w:t xml:space="preserve">Anexo III — Contrato de Encargo de Tratamiento (art. 28 RGPD)</w:t>
    </w:r>
    <w:r>
      <w:rPr>
        <w:color w:val="595959"/>
        <w:sz w:val="15"/>
        <w:szCs w:val="15"/>
      </w:rPr>
      <w:t xml:space="preserve">	PD-AM-2026-DOLMEN-01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460" w:hanging="260"/>
      </w:pPr>
      <w:rPr>
        <w:color w:val="D5323D"/>
      </w:rPr>
    </w:lvl>
  </w:abstractNum>
  <w:abstractNum w:abstractNumId="3" w15:restartNumberingAfterBreak="0">
    <w:multiLevelType w:val="hybridMultilevel"/>
    <w:lvl w:ilvl="0" w15:tentative="1">
      <w:start w:val="1"/>
      <w:numFmt w:val="lowerLetter"/>
      <w:lvlText w:val="%1)"/>
      <w:lvlJc w:val="left"/>
      <w:pPr>
        <w:ind w:left="600" w:hanging="320"/>
      </w:pPr>
    </w:lvl>
  </w:abstractNum>
  <w:num w:numId="1">
    <w:abstractNumId w:val="1"/>
    <w:lvlOverride w:ilvl="0">
      <w:startOverride w:val="1"/>
    </w:lvlOverride>
  </w:num>
  <w:num w:numId="2">
    <w:abstractNumId w:val="3"/>
    <w:lvlOverride w:ilvl="0">
      <w:startOverride w:val="1"/>
    </w:lvlOverride>
  </w:num>
  <w:num w:numId="3">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color w:val="1A1A1A"/>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keepNext/>
      <w:pBdr>
        <w:bottom w:val="single" w:color="D5323D" w:sz="6" w:space="6"/>
      </w:pBdr>
      <w:spacing w:after="140" w:before="300"/>
      <w:outlineLvl w:val="0"/>
    </w:pPr>
    <w:rPr>
      <w:rFonts w:ascii="Arial" w:cs="Arial" w:eastAsia="Arial" w:hAnsi="Arial"/>
      <w:b/>
      <w:bCs/>
      <w:color w:val="D5323D"/>
      <w:sz w:val="26"/>
      <w:szCs w:val="26"/>
    </w:rPr>
  </w:style>
  <w:style w:type="paragraph" w:styleId="Heading2">
    <w:name w:val="Heading 2"/>
    <w:basedOn w:val="Normal"/>
    <w:next w:val="Normal"/>
    <w:qFormat/>
    <w:pPr>
      <w:keepNext/>
      <w:spacing w:after="90" w:before="180"/>
      <w:outlineLvl w:val="1"/>
    </w:pPr>
    <w:rPr>
      <w:rFonts w:ascii="Arial" w:cs="Arial" w:eastAsia="Arial" w:hAnsi="Arial"/>
      <w:b/>
      <w:bCs/>
      <w:color w:val="1A1A1A"/>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Anexo III — Contrato de Encargo de Tratamiento (art. 28 RGPD) — DOLMEN Granitos y Mármoles S.L.</dc:title>
  <dc:creator>Pumpún Dixital S.L.</dc:creator>
  <cp:lastModifiedBy>Un-named</cp:lastModifiedBy>
  <cp:revision>1</cp:revision>
  <dcterms:created xsi:type="dcterms:W3CDTF">2026-06-30T09:41:04.771Z</dcterms:created>
  <dcterms:modified xsi:type="dcterms:W3CDTF">2026-06-30T09:41:04.771Z</dcterms:modified>
</cp:coreProperties>
</file>

<file path=docProps/custom.xml><?xml version="1.0" encoding="utf-8"?>
<Properties xmlns="http://schemas.openxmlformats.org/officeDocument/2006/custom-properties" xmlns:vt="http://schemas.openxmlformats.org/officeDocument/2006/docPropsVTypes"/>
</file>