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846359" w:rsidRDefault="00000000">
      <w:pPr>
        <w:spacing w:before="120" w:after="60"/>
        <w:jc w:val="center"/>
      </w:pPr>
      <w:r>
        <w:rPr>
          <w:b/>
          <w:bCs/>
          <w:sz w:val="32"/>
          <w:szCs w:val="32"/>
        </w:rPr>
        <w:t xml:space="preserve">HOJA DE ENCARGO </w:t>
      </w:r>
      <w:proofErr w:type="spellStart"/>
      <w:r>
        <w:rPr>
          <w:b/>
          <w:bCs/>
          <w:sz w:val="32"/>
          <w:szCs w:val="32"/>
        </w:rPr>
        <w:t>Nº</w:t>
      </w:r>
      <w:proofErr w:type="spellEnd"/>
      <w:r>
        <w:rPr>
          <w:b/>
          <w:bCs/>
          <w:sz w:val="32"/>
          <w:szCs w:val="32"/>
        </w:rPr>
        <w:t xml:space="preserve"> 1</w:t>
      </w:r>
    </w:p>
    <w:p w:rsidR="00846359" w:rsidRDefault="00000000">
      <w:pPr>
        <w:spacing w:after="60"/>
        <w:jc w:val="center"/>
      </w:pPr>
      <w:r>
        <w:rPr>
          <w:color w:val="595959"/>
        </w:rPr>
        <w:t>Fase 1 — Diagnóstico de madurez y mapa de oportunidades de IA</w:t>
      </w:r>
    </w:p>
    <w:p w:rsidR="00846359" w:rsidRDefault="00846359">
      <w:pPr>
        <w:pBdr>
          <w:bottom w:val="single" w:sz="8" w:space="8" w:color="D5323D"/>
        </w:pBdr>
        <w:spacing w:after="200"/>
        <w:jc w:val="center"/>
      </w:pPr>
    </w:p>
    <w:p w:rsidR="00846359" w:rsidRDefault="00000000">
      <w:pPr>
        <w:spacing w:after="140" w:line="276" w:lineRule="auto"/>
        <w:jc w:val="both"/>
      </w:pPr>
      <w:r>
        <w:t>La presente Hoja de Encargo se suscribe al amparo y como Anexo I del Acuerdo Marco de Prestación de Servicios de referencia PD-AM-2026-DOLMEN-01, formalizado entre PUMPÚN DIXITAL, S.L. («</w:t>
      </w:r>
      <w:proofErr w:type="spellStart"/>
      <w:r>
        <w:t>Pumpún</w:t>
      </w:r>
      <w:proofErr w:type="spellEnd"/>
      <w:r>
        <w:t>») y DOLMEN GRANITOS Y MÁRMOLES, S.L. («DOLMEN»), cuyos términos resultan de plena aplicación a este encargo. En caso de contradicción, prevalecerá lo dispuesto en esta Hoja de Encargo respecto de la materia que regula.</w:t>
      </w:r>
    </w:p>
    <w:p w:rsidR="00846359" w:rsidRDefault="00000000">
      <w:pPr>
        <w:pStyle w:val="Ttulo1"/>
      </w:pPr>
      <w:r>
        <w:t>1. Datos del encargo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000"/>
        <w:gridCol w:w="6026"/>
      </w:tblGrid>
      <w:tr w:rsidR="00846359">
        <w:tblPrEx>
          <w:tblCellMar>
            <w:top w:w="0" w:type="dxa"/>
            <w:bottom w:w="0" w:type="dxa"/>
          </w:tblCellMar>
        </w:tblPrEx>
        <w:tc>
          <w:tcPr>
            <w:tcW w:w="3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BEAEB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:rsidR="00846359" w:rsidRDefault="00000000">
            <w:r>
              <w:rPr>
                <w:b/>
                <w:bCs/>
                <w:sz w:val="20"/>
                <w:szCs w:val="20"/>
              </w:rPr>
              <w:t>Referencia</w:t>
            </w:r>
          </w:p>
        </w:tc>
        <w:tc>
          <w:tcPr>
            <w:tcW w:w="60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:rsidR="00846359" w:rsidRDefault="00000000">
            <w:r>
              <w:rPr>
                <w:sz w:val="20"/>
                <w:szCs w:val="20"/>
              </w:rPr>
              <w:t>PD-HE-2026-DOLMEN-01</w:t>
            </w:r>
          </w:p>
        </w:tc>
      </w:tr>
      <w:tr w:rsidR="00846359">
        <w:tblPrEx>
          <w:tblCellMar>
            <w:top w:w="0" w:type="dxa"/>
            <w:bottom w:w="0" w:type="dxa"/>
          </w:tblCellMar>
        </w:tblPrEx>
        <w:tc>
          <w:tcPr>
            <w:tcW w:w="3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BEAEB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:rsidR="00846359" w:rsidRDefault="00000000">
            <w:r>
              <w:rPr>
                <w:b/>
                <w:bCs/>
                <w:sz w:val="20"/>
                <w:szCs w:val="20"/>
              </w:rPr>
              <w:t>Acuerdo Marco</w:t>
            </w:r>
          </w:p>
        </w:tc>
        <w:tc>
          <w:tcPr>
            <w:tcW w:w="60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:rsidR="00846359" w:rsidRDefault="00000000">
            <w:r>
              <w:rPr>
                <w:sz w:val="20"/>
                <w:szCs w:val="20"/>
              </w:rPr>
              <w:t>PD-AM-2026-DOLMEN-01</w:t>
            </w:r>
          </w:p>
        </w:tc>
      </w:tr>
      <w:tr w:rsidR="00846359">
        <w:tblPrEx>
          <w:tblCellMar>
            <w:top w:w="0" w:type="dxa"/>
            <w:bottom w:w="0" w:type="dxa"/>
          </w:tblCellMar>
        </w:tblPrEx>
        <w:tc>
          <w:tcPr>
            <w:tcW w:w="3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BEAEB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:rsidR="00846359" w:rsidRDefault="00000000">
            <w:r>
              <w:rPr>
                <w:b/>
                <w:bCs/>
                <w:sz w:val="20"/>
                <w:szCs w:val="20"/>
              </w:rPr>
              <w:t>Cliente</w:t>
            </w:r>
          </w:p>
        </w:tc>
        <w:tc>
          <w:tcPr>
            <w:tcW w:w="60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:rsidR="00846359" w:rsidRDefault="00000000">
            <w:r>
              <w:rPr>
                <w:sz w:val="20"/>
                <w:szCs w:val="20"/>
              </w:rPr>
              <w:t>DOLMEN Granitos y Mármoles, S.L. — CIF B36853935</w:t>
            </w:r>
          </w:p>
        </w:tc>
      </w:tr>
      <w:tr w:rsidR="00846359">
        <w:tblPrEx>
          <w:tblCellMar>
            <w:top w:w="0" w:type="dxa"/>
            <w:bottom w:w="0" w:type="dxa"/>
          </w:tblCellMar>
        </w:tblPrEx>
        <w:tc>
          <w:tcPr>
            <w:tcW w:w="3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BEAEB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:rsidR="00846359" w:rsidRDefault="00000000">
            <w:r>
              <w:rPr>
                <w:b/>
                <w:bCs/>
                <w:sz w:val="20"/>
                <w:szCs w:val="20"/>
              </w:rPr>
              <w:t>Prestador</w:t>
            </w:r>
          </w:p>
        </w:tc>
        <w:tc>
          <w:tcPr>
            <w:tcW w:w="60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:rsidR="00846359" w:rsidRDefault="00000000">
            <w:proofErr w:type="spellStart"/>
            <w:r>
              <w:rPr>
                <w:sz w:val="20"/>
                <w:szCs w:val="20"/>
              </w:rPr>
              <w:t>Pumpún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Dixital</w:t>
            </w:r>
            <w:proofErr w:type="spellEnd"/>
            <w:r>
              <w:rPr>
                <w:sz w:val="20"/>
                <w:szCs w:val="20"/>
              </w:rPr>
              <w:t>, S.L. — ENS Categoría Alta</w:t>
            </w:r>
          </w:p>
        </w:tc>
      </w:tr>
      <w:tr w:rsidR="00846359">
        <w:tblPrEx>
          <w:tblCellMar>
            <w:top w:w="0" w:type="dxa"/>
            <w:bottom w:w="0" w:type="dxa"/>
          </w:tblCellMar>
        </w:tblPrEx>
        <w:tc>
          <w:tcPr>
            <w:tcW w:w="3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BEAEB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:rsidR="00846359" w:rsidRDefault="00000000">
            <w:r>
              <w:rPr>
                <w:b/>
                <w:bCs/>
                <w:sz w:val="20"/>
                <w:szCs w:val="20"/>
              </w:rPr>
              <w:t>Fase</w:t>
            </w:r>
          </w:p>
        </w:tc>
        <w:tc>
          <w:tcPr>
            <w:tcW w:w="60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:rsidR="00846359" w:rsidRDefault="00000000">
            <w:r>
              <w:rPr>
                <w:sz w:val="20"/>
                <w:szCs w:val="20"/>
              </w:rPr>
              <w:t>Fase 1 — Diagnóstico de madurez y mapa de oportunidades</w:t>
            </w:r>
          </w:p>
        </w:tc>
      </w:tr>
      <w:tr w:rsidR="00846359">
        <w:tblPrEx>
          <w:tblCellMar>
            <w:top w:w="0" w:type="dxa"/>
            <w:bottom w:w="0" w:type="dxa"/>
          </w:tblCellMar>
        </w:tblPrEx>
        <w:tc>
          <w:tcPr>
            <w:tcW w:w="3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BEAEB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:rsidR="00846359" w:rsidRDefault="00000000">
            <w:r>
              <w:rPr>
                <w:b/>
                <w:bCs/>
                <w:sz w:val="20"/>
                <w:szCs w:val="20"/>
              </w:rPr>
              <w:t>Fecha</w:t>
            </w:r>
          </w:p>
        </w:tc>
        <w:tc>
          <w:tcPr>
            <w:tcW w:w="60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:rsidR="00846359" w:rsidRDefault="00000000">
            <w:r>
              <w:rPr>
                <w:sz w:val="20"/>
                <w:szCs w:val="20"/>
              </w:rPr>
              <w:t xml:space="preserve">____ de ________________ </w:t>
            </w:r>
            <w:proofErr w:type="spellStart"/>
            <w:r>
              <w:rPr>
                <w:sz w:val="20"/>
                <w:szCs w:val="20"/>
              </w:rPr>
              <w:t>de</w:t>
            </w:r>
            <w:proofErr w:type="spellEnd"/>
            <w:r>
              <w:rPr>
                <w:sz w:val="20"/>
                <w:szCs w:val="20"/>
              </w:rPr>
              <w:t xml:space="preserve"> 2026</w:t>
            </w:r>
            <w:r w:rsidR="001162E8">
              <w:rPr>
                <w:sz w:val="20"/>
                <w:szCs w:val="20"/>
              </w:rPr>
              <w:t>/7</w:t>
            </w:r>
          </w:p>
        </w:tc>
      </w:tr>
    </w:tbl>
    <w:p w:rsidR="00846359" w:rsidRDefault="00000000">
      <w:pPr>
        <w:pStyle w:val="Ttulo1"/>
      </w:pPr>
      <w:r>
        <w:t>2. Objeto y alcance</w:t>
      </w:r>
    </w:p>
    <w:p w:rsidR="00846359" w:rsidRDefault="00000000">
      <w:pPr>
        <w:spacing w:after="120" w:line="276" w:lineRule="auto"/>
        <w:jc w:val="both"/>
      </w:pPr>
      <w:r>
        <w:rPr>
          <w:b/>
          <w:bCs/>
        </w:rPr>
        <w:t xml:space="preserve">2.1. </w:t>
      </w:r>
      <w:r>
        <w:t>El presente encargo tiene por objeto la realización de un diagnóstico de madurez digital y de datos de DOLMEN y la elaboración de un mapa priorizado de oportunidades de aplicación de inteligencia artificial y automatización en el conjunto de su cadena de valor, en línea con el concepto de «Cantera Inteligente y Planta de Transformación Inteligente».</w:t>
      </w:r>
    </w:p>
    <w:p w:rsidR="00846359" w:rsidRDefault="00000000">
      <w:pPr>
        <w:spacing w:after="120" w:line="276" w:lineRule="auto"/>
        <w:jc w:val="both"/>
      </w:pPr>
      <w:r>
        <w:rPr>
          <w:b/>
          <w:bCs/>
        </w:rPr>
        <w:t xml:space="preserve">2.2. </w:t>
      </w:r>
      <w:r>
        <w:t>El alcance comprende las áreas de cantera y aprovisionamiento, producción y transformación en planta, logística, comercial, calidad y administración, en la medida en que DOLMEN facilite la información y los accesos necesarios.</w:t>
      </w:r>
    </w:p>
    <w:p w:rsidR="00846359" w:rsidRDefault="00000000">
      <w:pPr>
        <w:spacing w:after="140" w:line="276" w:lineRule="auto"/>
        <w:jc w:val="both"/>
      </w:pPr>
      <w:r>
        <w:t>2.3. Quedan expresamente excluidos de este encargo:</w:t>
      </w:r>
    </w:p>
    <w:p w:rsidR="00846359" w:rsidRDefault="00000000">
      <w:pPr>
        <w:pStyle w:val="Prrafodelista"/>
        <w:numPr>
          <w:ilvl w:val="0"/>
          <w:numId w:val="2"/>
        </w:numPr>
        <w:spacing w:after="70" w:line="276" w:lineRule="auto"/>
        <w:jc w:val="both"/>
      </w:pPr>
      <w:r>
        <w:t>El desarrollo o la implantación de cualquier solución de IA o automatización, que corresponde a fases posteriores y se formalizará, en su caso, mediante Hojas de Encargo independientes.</w:t>
      </w:r>
    </w:p>
    <w:p w:rsidR="00846359" w:rsidRDefault="00000000">
      <w:pPr>
        <w:pStyle w:val="Prrafodelista"/>
        <w:numPr>
          <w:ilvl w:val="0"/>
          <w:numId w:val="2"/>
        </w:numPr>
        <w:spacing w:after="70" w:line="276" w:lineRule="auto"/>
        <w:jc w:val="both"/>
      </w:pPr>
      <w:r>
        <w:t xml:space="preserve">La adquisición de hardware, </w:t>
      </w:r>
      <w:proofErr w:type="spellStart"/>
      <w:r>
        <w:t>sensórica</w:t>
      </w:r>
      <w:proofErr w:type="spellEnd"/>
      <w:r>
        <w:t>, licencias de terceros o infraestructura.</w:t>
      </w:r>
    </w:p>
    <w:p w:rsidR="00846359" w:rsidRDefault="00000000">
      <w:pPr>
        <w:pStyle w:val="Ttulo1"/>
      </w:pPr>
      <w:r>
        <w:t>3. Actividades</w:t>
      </w:r>
    </w:p>
    <w:p w:rsidR="00846359" w:rsidRDefault="00000000">
      <w:pPr>
        <w:pStyle w:val="Prrafodelista"/>
        <w:numPr>
          <w:ilvl w:val="0"/>
          <w:numId w:val="3"/>
        </w:numPr>
        <w:spacing w:after="70"/>
        <w:jc w:val="both"/>
      </w:pPr>
      <w:r>
        <w:t>Reunión de arranque (</w:t>
      </w:r>
      <w:proofErr w:type="spellStart"/>
      <w:r>
        <w:t>kick</w:t>
      </w:r>
      <w:proofErr w:type="spellEnd"/>
      <w:r>
        <w:t>-off) y planificación detallada de los trabajos.</w:t>
      </w:r>
    </w:p>
    <w:p w:rsidR="00846359" w:rsidRDefault="00000000">
      <w:pPr>
        <w:pStyle w:val="Prrafodelista"/>
        <w:numPr>
          <w:ilvl w:val="0"/>
          <w:numId w:val="3"/>
        </w:numPr>
        <w:spacing w:after="70"/>
        <w:jc w:val="both"/>
      </w:pPr>
      <w:r>
        <w:t>Sesiones de trabajo con la dirección y con los responsables de las áreas clave.</w:t>
      </w:r>
    </w:p>
    <w:p w:rsidR="00846359" w:rsidRDefault="00000000">
      <w:pPr>
        <w:pStyle w:val="Prrafodelista"/>
        <w:numPr>
          <w:ilvl w:val="0"/>
          <w:numId w:val="3"/>
        </w:numPr>
        <w:spacing w:after="70"/>
        <w:jc w:val="both"/>
      </w:pPr>
      <w:r>
        <w:t>Revisión de los flujos de información actuales: herramientas, hojas de cálculo, ERP, documentación, correo y puntos de decisión manual.</w:t>
      </w:r>
    </w:p>
    <w:p w:rsidR="00846359" w:rsidRDefault="00000000">
      <w:pPr>
        <w:pStyle w:val="Prrafodelista"/>
        <w:numPr>
          <w:ilvl w:val="0"/>
          <w:numId w:val="3"/>
        </w:numPr>
        <w:spacing w:after="70"/>
        <w:jc w:val="both"/>
      </w:pPr>
      <w:r>
        <w:t>Identificación de cuellos de botella, tareas repetitivas, datos infrautilizados y decisiones dependientes de conocimiento individual.</w:t>
      </w:r>
    </w:p>
    <w:p w:rsidR="00846359" w:rsidRDefault="00000000">
      <w:pPr>
        <w:pStyle w:val="Prrafodelista"/>
        <w:numPr>
          <w:ilvl w:val="0"/>
          <w:numId w:val="3"/>
        </w:numPr>
        <w:spacing w:after="70"/>
        <w:jc w:val="both"/>
      </w:pPr>
      <w:r>
        <w:lastRenderedPageBreak/>
        <w:t>Catalogación de casos de uso candidatos y evaluación por impacto, esfuerzo, disponibilidad de datos y riesgo.</w:t>
      </w:r>
    </w:p>
    <w:p w:rsidR="00846359" w:rsidRDefault="00000000">
      <w:pPr>
        <w:pStyle w:val="Prrafodelista"/>
        <w:numPr>
          <w:ilvl w:val="0"/>
          <w:numId w:val="3"/>
        </w:numPr>
        <w:spacing w:after="70"/>
        <w:jc w:val="both"/>
      </w:pPr>
      <w:r>
        <w:t>Priorización conjunta con DOLMEN, elaboración de la hoja de ruta y sesión de presentación de conclusiones a la dirección.</w:t>
      </w:r>
    </w:p>
    <w:p w:rsidR="00846359" w:rsidRDefault="00000000">
      <w:pPr>
        <w:pStyle w:val="Ttulo1"/>
      </w:pPr>
      <w:r>
        <w:t>4. Entregables</w:t>
      </w:r>
    </w:p>
    <w:p w:rsidR="00846359" w:rsidRDefault="00000000">
      <w:pPr>
        <w:pStyle w:val="Prrafodelista"/>
        <w:numPr>
          <w:ilvl w:val="0"/>
          <w:numId w:val="2"/>
        </w:numPr>
        <w:spacing w:after="70" w:line="276" w:lineRule="auto"/>
        <w:jc w:val="both"/>
      </w:pPr>
      <w:r>
        <w:t>Informe de diagnóstico de madurez digital y de datos de DOLMEN.</w:t>
      </w:r>
    </w:p>
    <w:p w:rsidR="00846359" w:rsidRDefault="00000000">
      <w:pPr>
        <w:pStyle w:val="Prrafodelista"/>
        <w:numPr>
          <w:ilvl w:val="0"/>
          <w:numId w:val="2"/>
        </w:numPr>
        <w:spacing w:after="70" w:line="276" w:lineRule="auto"/>
        <w:jc w:val="both"/>
      </w:pPr>
      <w:r>
        <w:t>Catálogo de casos de uso de IA y automatización identificados.</w:t>
      </w:r>
    </w:p>
    <w:p w:rsidR="00846359" w:rsidRDefault="00000000">
      <w:pPr>
        <w:pStyle w:val="Prrafodelista"/>
        <w:numPr>
          <w:ilvl w:val="0"/>
          <w:numId w:val="2"/>
        </w:numPr>
        <w:spacing w:after="70" w:line="276" w:lineRule="auto"/>
        <w:jc w:val="both"/>
      </w:pPr>
      <w:r>
        <w:t>Hoja de ruta priorizada (impacto / esfuerzo) con recomendación de secuencia de implantación.</w:t>
      </w:r>
    </w:p>
    <w:p w:rsidR="00846359" w:rsidRDefault="00000000">
      <w:pPr>
        <w:pStyle w:val="Prrafodelista"/>
        <w:numPr>
          <w:ilvl w:val="0"/>
          <w:numId w:val="2"/>
        </w:numPr>
        <w:spacing w:after="70" w:line="276" w:lineRule="auto"/>
        <w:jc w:val="both"/>
      </w:pPr>
      <w:r>
        <w:t>Estimación orientativa de inversión y retorno esperado para los casos de uso prioritarios.</w:t>
      </w:r>
    </w:p>
    <w:p w:rsidR="00846359" w:rsidRDefault="00000000">
      <w:pPr>
        <w:pStyle w:val="Prrafodelista"/>
        <w:numPr>
          <w:ilvl w:val="0"/>
          <w:numId w:val="2"/>
        </w:numPr>
        <w:spacing w:after="70" w:line="276" w:lineRule="auto"/>
        <w:jc w:val="both"/>
      </w:pPr>
      <w:r>
        <w:t>Sesión de presentación de conclusiones a la dirección.</w:t>
      </w:r>
    </w:p>
    <w:p w:rsidR="00846359" w:rsidRDefault="00000000">
      <w:pPr>
        <w:pStyle w:val="Ttulo1"/>
      </w:pPr>
      <w:r>
        <w:t>5. Calendario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00"/>
        <w:gridCol w:w="4826"/>
        <w:gridCol w:w="2000"/>
      </w:tblGrid>
      <w:tr w:rsidR="00846359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2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D5323D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:rsidR="00846359" w:rsidRDefault="00000000">
            <w:r>
              <w:rPr>
                <w:b/>
                <w:bCs/>
                <w:color w:val="FFFFFF"/>
                <w:sz w:val="20"/>
                <w:szCs w:val="20"/>
              </w:rPr>
              <w:t>Semana</w:t>
            </w:r>
          </w:p>
        </w:tc>
        <w:tc>
          <w:tcPr>
            <w:tcW w:w="48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D5323D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:rsidR="00846359" w:rsidRDefault="00000000">
            <w:r>
              <w:rPr>
                <w:b/>
                <w:bCs/>
                <w:color w:val="FFFFFF"/>
                <w:sz w:val="20"/>
                <w:szCs w:val="20"/>
              </w:rPr>
              <w:t>Actividad</w:t>
            </w:r>
          </w:p>
        </w:tc>
        <w:tc>
          <w:tcPr>
            <w:tcW w:w="2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D5323D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:rsidR="00846359" w:rsidRDefault="00000000">
            <w:r>
              <w:rPr>
                <w:b/>
                <w:bCs/>
                <w:color w:val="FFFFFF"/>
                <w:sz w:val="20"/>
                <w:szCs w:val="20"/>
              </w:rPr>
              <w:t>Hito</w:t>
            </w:r>
          </w:p>
        </w:tc>
      </w:tr>
      <w:tr w:rsidR="00846359">
        <w:tblPrEx>
          <w:tblCellMar>
            <w:top w:w="0" w:type="dxa"/>
            <w:bottom w:w="0" w:type="dxa"/>
          </w:tblCellMar>
        </w:tblPrEx>
        <w:tc>
          <w:tcPr>
            <w:tcW w:w="2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BEAEB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:rsidR="00846359" w:rsidRDefault="00000000">
            <w:r>
              <w:rPr>
                <w:sz w:val="20"/>
                <w:szCs w:val="20"/>
              </w:rPr>
              <w:t>Semanas 1–2</w:t>
            </w:r>
          </w:p>
        </w:tc>
        <w:tc>
          <w:tcPr>
            <w:tcW w:w="48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:rsidR="00846359" w:rsidRDefault="00000000">
            <w:proofErr w:type="spellStart"/>
            <w:r>
              <w:rPr>
                <w:sz w:val="20"/>
                <w:szCs w:val="20"/>
              </w:rPr>
              <w:t>Kick</w:t>
            </w:r>
            <w:proofErr w:type="spellEnd"/>
            <w:r>
              <w:rPr>
                <w:sz w:val="20"/>
                <w:szCs w:val="20"/>
              </w:rPr>
              <w:t>-off, sesiones con áreas y recopilación de información</w:t>
            </w:r>
          </w:p>
        </w:tc>
        <w:tc>
          <w:tcPr>
            <w:tcW w:w="2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:rsidR="00846359" w:rsidRDefault="00000000">
            <w:proofErr w:type="spellStart"/>
            <w:r>
              <w:rPr>
                <w:sz w:val="20"/>
                <w:szCs w:val="20"/>
              </w:rPr>
              <w:t>Kick</w:t>
            </w:r>
            <w:proofErr w:type="spellEnd"/>
            <w:r>
              <w:rPr>
                <w:sz w:val="20"/>
                <w:szCs w:val="20"/>
              </w:rPr>
              <w:t>-off</w:t>
            </w:r>
          </w:p>
        </w:tc>
      </w:tr>
      <w:tr w:rsidR="00846359">
        <w:tblPrEx>
          <w:tblCellMar>
            <w:top w:w="0" w:type="dxa"/>
            <w:bottom w:w="0" w:type="dxa"/>
          </w:tblCellMar>
        </w:tblPrEx>
        <w:tc>
          <w:tcPr>
            <w:tcW w:w="2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BEAEB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:rsidR="00846359" w:rsidRDefault="00000000">
            <w:r>
              <w:rPr>
                <w:sz w:val="20"/>
                <w:szCs w:val="20"/>
              </w:rPr>
              <w:t>Semanas 3–4</w:t>
            </w:r>
          </w:p>
        </w:tc>
        <w:tc>
          <w:tcPr>
            <w:tcW w:w="48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:rsidR="00846359" w:rsidRDefault="00000000">
            <w:r>
              <w:rPr>
                <w:sz w:val="20"/>
                <w:szCs w:val="20"/>
              </w:rPr>
              <w:t>Análisis de procesos y datos; catalogación de casos de uso</w:t>
            </w:r>
          </w:p>
        </w:tc>
        <w:tc>
          <w:tcPr>
            <w:tcW w:w="2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:rsidR="00846359" w:rsidRDefault="00000000">
            <w:r>
              <w:rPr>
                <w:sz w:val="20"/>
                <w:szCs w:val="20"/>
              </w:rPr>
              <w:t>Borrador de hallazgos</w:t>
            </w:r>
          </w:p>
        </w:tc>
      </w:tr>
      <w:tr w:rsidR="00846359">
        <w:tblPrEx>
          <w:tblCellMar>
            <w:top w:w="0" w:type="dxa"/>
            <w:bottom w:w="0" w:type="dxa"/>
          </w:tblCellMar>
        </w:tblPrEx>
        <w:tc>
          <w:tcPr>
            <w:tcW w:w="2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BEAEB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:rsidR="00846359" w:rsidRDefault="00000000">
            <w:r>
              <w:rPr>
                <w:sz w:val="20"/>
                <w:szCs w:val="20"/>
              </w:rPr>
              <w:t>Semanas 5–6</w:t>
            </w:r>
          </w:p>
        </w:tc>
        <w:tc>
          <w:tcPr>
            <w:tcW w:w="48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:rsidR="00846359" w:rsidRDefault="00000000">
            <w:r>
              <w:rPr>
                <w:sz w:val="20"/>
                <w:szCs w:val="20"/>
              </w:rPr>
              <w:t>Priorización, hoja de ruta y presentación a dirección</w:t>
            </w:r>
          </w:p>
        </w:tc>
        <w:tc>
          <w:tcPr>
            <w:tcW w:w="2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:rsidR="00846359" w:rsidRDefault="00000000">
            <w:r>
              <w:rPr>
                <w:sz w:val="20"/>
                <w:szCs w:val="20"/>
              </w:rPr>
              <w:t>Entrega final</w:t>
            </w:r>
          </w:p>
        </w:tc>
      </w:tr>
    </w:tbl>
    <w:p w:rsidR="00846359" w:rsidRDefault="00846359">
      <w:pPr>
        <w:spacing w:after="140" w:line="276" w:lineRule="auto"/>
        <w:jc w:val="both"/>
      </w:pPr>
    </w:p>
    <w:p w:rsidR="00846359" w:rsidRDefault="00000000">
      <w:pPr>
        <w:spacing w:after="140" w:line="276" w:lineRule="auto"/>
        <w:jc w:val="both"/>
      </w:pPr>
      <w:r>
        <w:t>Duración estimada: cinco (5) a seis (6) semanas desde la reunión de arranque, sujeta a la disponibilidad de los interlocutores de DOLMEN y a la entrega en plazo de la información requerida.</w:t>
      </w:r>
    </w:p>
    <w:p w:rsidR="00846359" w:rsidRDefault="00000000">
      <w:pPr>
        <w:pStyle w:val="Ttulo1"/>
      </w:pPr>
      <w:r>
        <w:t>6. Precio y condiciones de pago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500"/>
        <w:gridCol w:w="2526"/>
        <w:gridCol w:w="2000"/>
      </w:tblGrid>
      <w:tr w:rsidR="00846359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4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D5323D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:rsidR="00846359" w:rsidRDefault="00000000">
            <w:r>
              <w:rPr>
                <w:b/>
                <w:bCs/>
                <w:color w:val="FFFFFF"/>
                <w:sz w:val="20"/>
                <w:szCs w:val="20"/>
              </w:rPr>
              <w:t>Concepto</w:t>
            </w:r>
          </w:p>
        </w:tc>
        <w:tc>
          <w:tcPr>
            <w:tcW w:w="25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D5323D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:rsidR="00846359" w:rsidRDefault="00000000">
            <w:r>
              <w:rPr>
                <w:b/>
                <w:bCs/>
                <w:color w:val="FFFFFF"/>
                <w:sz w:val="20"/>
                <w:szCs w:val="20"/>
              </w:rPr>
              <w:t>Modalidad</w:t>
            </w:r>
          </w:p>
        </w:tc>
        <w:tc>
          <w:tcPr>
            <w:tcW w:w="2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D5323D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:rsidR="00846359" w:rsidRDefault="00000000">
            <w:r>
              <w:rPr>
                <w:b/>
                <w:bCs/>
                <w:color w:val="FFFFFF"/>
                <w:sz w:val="20"/>
                <w:szCs w:val="20"/>
              </w:rPr>
              <w:t>Importe (€, sin IVA)</w:t>
            </w:r>
          </w:p>
        </w:tc>
      </w:tr>
      <w:tr w:rsidR="00846359">
        <w:tblPrEx>
          <w:tblCellMar>
            <w:top w:w="0" w:type="dxa"/>
            <w:bottom w:w="0" w:type="dxa"/>
          </w:tblCellMar>
        </w:tblPrEx>
        <w:tc>
          <w:tcPr>
            <w:tcW w:w="4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:rsidR="00846359" w:rsidRDefault="00000000">
            <w:r>
              <w:rPr>
                <w:b/>
                <w:bCs/>
                <w:sz w:val="20"/>
                <w:szCs w:val="20"/>
              </w:rPr>
              <w:t>Diagnóstico de madurez y hoja de ruta (Fase 1)</w:t>
            </w:r>
          </w:p>
        </w:tc>
        <w:tc>
          <w:tcPr>
            <w:tcW w:w="25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:rsidR="00846359" w:rsidRDefault="00000000">
            <w:r>
              <w:rPr>
                <w:sz w:val="20"/>
                <w:szCs w:val="20"/>
              </w:rPr>
              <w:t>Precio cerrado</w:t>
            </w:r>
          </w:p>
        </w:tc>
        <w:tc>
          <w:tcPr>
            <w:tcW w:w="2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:rsidR="00846359" w:rsidRDefault="00000000">
            <w:r>
              <w:rPr>
                <w:b/>
                <w:bCs/>
                <w:sz w:val="20"/>
                <w:szCs w:val="20"/>
              </w:rPr>
              <w:t>5.850 €</w:t>
            </w:r>
          </w:p>
        </w:tc>
      </w:tr>
    </w:tbl>
    <w:p w:rsidR="00846359" w:rsidRDefault="00846359">
      <w:pPr>
        <w:spacing w:after="140" w:line="276" w:lineRule="auto"/>
        <w:jc w:val="both"/>
      </w:pPr>
    </w:p>
    <w:p w:rsidR="00846359" w:rsidRDefault="00000000">
      <w:pPr>
        <w:spacing w:after="120" w:line="276" w:lineRule="auto"/>
        <w:jc w:val="both"/>
      </w:pPr>
      <w:r>
        <w:rPr>
          <w:b/>
          <w:bCs/>
        </w:rPr>
        <w:t xml:space="preserve">6.1. </w:t>
      </w:r>
      <w:r>
        <w:t>El importe indicado no incluye el IVA aplicable, que se repercutirá conforme a la legislación vigente.</w:t>
      </w:r>
    </w:p>
    <w:p w:rsidR="00846359" w:rsidRDefault="00000000">
      <w:pPr>
        <w:spacing w:after="120" w:line="276" w:lineRule="auto"/>
        <w:jc w:val="both"/>
      </w:pPr>
      <w:r>
        <w:rPr>
          <w:b/>
          <w:bCs/>
        </w:rPr>
        <w:t xml:space="preserve">6.2. </w:t>
      </w:r>
      <w:r>
        <w:t>Forma de pago: el 50 % (2.925 €, sin IVA) a la firma de la presente Hoja de Encargo y el 50 % restante (2.925 €, sin IVA) a la entrega del informe de diagnóstico. El pago se efectuará mediante transferencia bancaria a treinta (30) días desde la fecha de cada factura.</w:t>
      </w:r>
    </w:p>
    <w:p w:rsidR="00846359" w:rsidRDefault="00000000">
      <w:pPr>
        <w:spacing w:after="120" w:line="276" w:lineRule="auto"/>
        <w:jc w:val="both"/>
      </w:pPr>
      <w:r>
        <w:rPr>
          <w:b/>
          <w:bCs/>
        </w:rPr>
        <w:t xml:space="preserve">6.3. </w:t>
      </w:r>
      <w:r>
        <w:t>Bonificación por continuidad: en caso de que DOLMEN decida avanzar a la Fase 2, el 50 % del importe de la presente Fase 1 (2.925 €, sin IVA) se descontará del primer proyecto de implantación que se formalice.</w:t>
      </w:r>
    </w:p>
    <w:p w:rsidR="00846359" w:rsidRDefault="00000000">
      <w:pPr>
        <w:pStyle w:val="Ttulo1"/>
      </w:pPr>
      <w:r>
        <w:lastRenderedPageBreak/>
        <w:t>7. Condiciones particulares</w:t>
      </w:r>
    </w:p>
    <w:p w:rsidR="00846359" w:rsidRDefault="00000000">
      <w:pPr>
        <w:spacing w:after="120" w:line="276" w:lineRule="auto"/>
        <w:jc w:val="both"/>
      </w:pPr>
      <w:r>
        <w:rPr>
          <w:b/>
          <w:bCs/>
        </w:rPr>
        <w:t xml:space="preserve">7.1. </w:t>
      </w:r>
      <w:r>
        <w:t>DOLMEN designará un interlocutor responsable de coordinar las sesiones, facilitar la información y validar el entregable final.</w:t>
      </w:r>
    </w:p>
    <w:p w:rsidR="00846359" w:rsidRDefault="00000000">
      <w:pPr>
        <w:spacing w:after="120" w:line="276" w:lineRule="auto"/>
        <w:jc w:val="both"/>
      </w:pPr>
      <w:r>
        <w:rPr>
          <w:b/>
          <w:bCs/>
        </w:rPr>
        <w:t xml:space="preserve">7.2. </w:t>
      </w:r>
      <w:r>
        <w:t xml:space="preserve">El resultado de este encargo (informe, catálogo y hoja de ruta) se entrega para uso interno de DOLMEN. El conocimiento, las metodologías y las plantillas empleadas por </w:t>
      </w:r>
      <w:proofErr w:type="spellStart"/>
      <w:r>
        <w:t>Pumpún</w:t>
      </w:r>
      <w:proofErr w:type="spellEnd"/>
      <w:r>
        <w:t xml:space="preserve"> para elaborarlo constituyen Material Preexistente y permanecen de su titularidad, conforme a la cláusula 6 del Acuerdo Marco.</w:t>
      </w:r>
    </w:p>
    <w:p w:rsidR="00846359" w:rsidRDefault="00000000">
      <w:pPr>
        <w:spacing w:after="120" w:line="276" w:lineRule="auto"/>
        <w:jc w:val="both"/>
      </w:pPr>
      <w:r>
        <w:rPr>
          <w:b/>
          <w:bCs/>
        </w:rPr>
        <w:t xml:space="preserve">7.3. </w:t>
      </w:r>
      <w:r>
        <w:t xml:space="preserve">Durante esta fase no está previsto el tratamiento de datos personales por parte de </w:t>
      </w:r>
      <w:proofErr w:type="spellStart"/>
      <w:r>
        <w:t>Pumpún</w:t>
      </w:r>
      <w:proofErr w:type="spellEnd"/>
      <w:r>
        <w:t>. Si durante su ejecución resultara necesario, se suscribirá con carácter previo el Contrato de Encargo de Tratamiento (art. 28 RGPD) conforme a la cláusula 8 del Acuerdo Marco.</w:t>
      </w:r>
    </w:p>
    <w:p w:rsidR="00846359" w:rsidRDefault="00000000">
      <w:pPr>
        <w:spacing w:after="120" w:line="276" w:lineRule="auto"/>
        <w:jc w:val="both"/>
      </w:pPr>
      <w:r>
        <w:rPr>
          <w:b/>
          <w:bCs/>
        </w:rPr>
        <w:t xml:space="preserve">7.4. </w:t>
      </w:r>
      <w:r>
        <w:t xml:space="preserve">El presente encargo es de naturaleza consultiva. Sus conclusiones constituyen recomendaciones que DOLMEN valorará y decidirá libremente, sin que </w:t>
      </w:r>
      <w:proofErr w:type="spellStart"/>
      <w:r>
        <w:t>Pumpún</w:t>
      </w:r>
      <w:proofErr w:type="spellEnd"/>
      <w:r>
        <w:t xml:space="preserve"> garantice resultados económicos concretos derivados de su implantación.</w:t>
      </w:r>
    </w:p>
    <w:p w:rsidR="00846359" w:rsidRDefault="00000000">
      <w:pPr>
        <w:pStyle w:val="Ttulo1"/>
      </w:pPr>
      <w:r>
        <w:t>8. Aceptación</w:t>
      </w:r>
    </w:p>
    <w:p w:rsidR="00846359" w:rsidRDefault="00000000">
      <w:pPr>
        <w:spacing w:after="140" w:line="276" w:lineRule="auto"/>
        <w:jc w:val="both"/>
      </w:pPr>
      <w:r>
        <w:t>Las partes manifiestan su conformidad con la presente Hoja de Encargo, que se incorpora como Anexo I al Acuerdo Marco de referencia y se rige por sus términos.</w:t>
      </w:r>
    </w:p>
    <w:p w:rsidR="00846359" w:rsidRDefault="00846359">
      <w:pPr>
        <w:spacing w:before="20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513"/>
        <w:gridCol w:w="4513"/>
      </w:tblGrid>
      <w:tr w:rsidR="00846359">
        <w:tblPrEx>
          <w:tblCellMar>
            <w:top w:w="0" w:type="dxa"/>
            <w:bottom w:w="0" w:type="dxa"/>
          </w:tblCellMar>
        </w:tblPrEx>
        <w:tc>
          <w:tcPr>
            <w:tcW w:w="4513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tcMar>
              <w:top w:w="90" w:type="dxa"/>
              <w:left w:w="140" w:type="dxa"/>
              <w:bottom w:w="90" w:type="dxa"/>
              <w:right w:w="140" w:type="dxa"/>
            </w:tcMar>
          </w:tcPr>
          <w:p w:rsidR="00846359" w:rsidRDefault="00000000">
            <w:pPr>
              <w:spacing w:after="60"/>
            </w:pPr>
            <w:r>
              <w:rPr>
                <w:b/>
                <w:bCs/>
                <w:sz w:val="20"/>
                <w:szCs w:val="20"/>
              </w:rPr>
              <w:t>Por PUMPÚN DIXITAL, S.L.</w:t>
            </w:r>
          </w:p>
          <w:p w:rsidR="00846359" w:rsidRDefault="00000000">
            <w:pPr>
              <w:spacing w:before="800"/>
            </w:pPr>
            <w:r>
              <w:rPr>
                <w:sz w:val="20"/>
                <w:szCs w:val="20"/>
              </w:rPr>
              <w:t>Fdo.: ____________________</w:t>
            </w:r>
          </w:p>
          <w:p w:rsidR="00846359" w:rsidRDefault="00000000">
            <w:r>
              <w:rPr>
                <w:sz w:val="20"/>
                <w:szCs w:val="20"/>
              </w:rPr>
              <w:t>Nombre: José Carlos García Sánchez</w:t>
            </w:r>
          </w:p>
          <w:p w:rsidR="00846359" w:rsidRDefault="00000000">
            <w:r>
              <w:rPr>
                <w:sz w:val="20"/>
                <w:szCs w:val="20"/>
              </w:rPr>
              <w:t>D.N.I.: 76710308H</w:t>
            </w:r>
          </w:p>
          <w:p w:rsidR="00846359" w:rsidRDefault="00000000">
            <w:r>
              <w:rPr>
                <w:sz w:val="20"/>
                <w:szCs w:val="20"/>
              </w:rPr>
              <w:t>Fecha:</w:t>
            </w:r>
          </w:p>
        </w:tc>
        <w:tc>
          <w:tcPr>
            <w:tcW w:w="4513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tcMar>
              <w:top w:w="90" w:type="dxa"/>
              <w:left w:w="140" w:type="dxa"/>
              <w:bottom w:w="90" w:type="dxa"/>
              <w:right w:w="140" w:type="dxa"/>
            </w:tcMar>
          </w:tcPr>
          <w:p w:rsidR="00846359" w:rsidRDefault="00000000">
            <w:pPr>
              <w:spacing w:after="60"/>
            </w:pPr>
            <w:r>
              <w:rPr>
                <w:b/>
                <w:bCs/>
                <w:sz w:val="20"/>
                <w:szCs w:val="20"/>
              </w:rPr>
              <w:t>Por DOLMEN GRANITOS Y MÁRMOLES, S.L.</w:t>
            </w:r>
          </w:p>
          <w:p w:rsidR="00846359" w:rsidRDefault="00000000">
            <w:pPr>
              <w:spacing w:before="700"/>
            </w:pPr>
            <w:r>
              <w:rPr>
                <w:sz w:val="20"/>
                <w:szCs w:val="20"/>
              </w:rPr>
              <w:t>Fdo.: ____________________</w:t>
            </w:r>
          </w:p>
          <w:p w:rsidR="00846359" w:rsidRDefault="00000000">
            <w:r>
              <w:rPr>
                <w:sz w:val="20"/>
                <w:szCs w:val="20"/>
              </w:rPr>
              <w:t>Nombre: David Fernández Sanromán</w:t>
            </w:r>
          </w:p>
          <w:p w:rsidR="00846359" w:rsidRDefault="00000000">
            <w:r>
              <w:rPr>
                <w:sz w:val="20"/>
                <w:szCs w:val="20"/>
              </w:rPr>
              <w:t>D.N.I.: 36106736W</w:t>
            </w:r>
          </w:p>
          <w:p w:rsidR="00846359" w:rsidRDefault="00000000">
            <w:pPr>
              <w:spacing w:before="400"/>
            </w:pPr>
            <w:r>
              <w:rPr>
                <w:sz w:val="20"/>
                <w:szCs w:val="20"/>
              </w:rPr>
              <w:t>Fdo.: ____________________</w:t>
            </w:r>
          </w:p>
          <w:p w:rsidR="00846359" w:rsidRDefault="00000000">
            <w:r>
              <w:rPr>
                <w:sz w:val="20"/>
                <w:szCs w:val="20"/>
              </w:rPr>
              <w:t xml:space="preserve">Nombre: María Noelia </w:t>
            </w:r>
            <w:proofErr w:type="spellStart"/>
            <w:r>
              <w:rPr>
                <w:sz w:val="20"/>
                <w:szCs w:val="20"/>
              </w:rPr>
              <w:t>Santomé</w:t>
            </w:r>
            <w:proofErr w:type="spellEnd"/>
            <w:r>
              <w:rPr>
                <w:sz w:val="20"/>
                <w:szCs w:val="20"/>
              </w:rPr>
              <w:t xml:space="preserve"> Iglesias</w:t>
            </w:r>
          </w:p>
          <w:p w:rsidR="00846359" w:rsidRDefault="00000000">
            <w:r>
              <w:rPr>
                <w:sz w:val="20"/>
                <w:szCs w:val="20"/>
              </w:rPr>
              <w:t>D.N.I.: 36118934X</w:t>
            </w:r>
          </w:p>
        </w:tc>
      </w:tr>
    </w:tbl>
    <w:p w:rsidR="00F345C4" w:rsidRDefault="00F345C4"/>
    <w:sectPr w:rsidR="00F345C4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F345C4" w:rsidRDefault="00F345C4">
      <w:r>
        <w:separator/>
      </w:r>
    </w:p>
  </w:endnote>
  <w:endnote w:type="continuationSeparator" w:id="0">
    <w:p w:rsidR="00F345C4" w:rsidRDefault="00F345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846359" w:rsidRDefault="00000000">
    <w:pPr>
      <w:pBdr>
        <w:top w:val="single" w:sz="4" w:space="4" w:color="DDDDDD"/>
      </w:pBdr>
      <w:tabs>
        <w:tab w:val="right" w:pos="9026"/>
      </w:tabs>
    </w:pPr>
    <w:r>
      <w:rPr>
        <w:color w:val="595959"/>
        <w:sz w:val="15"/>
        <w:szCs w:val="15"/>
      </w:rPr>
      <w:t>Documento confidencial · Ref. PD-HE-2026-DOLMEN-01</w:t>
    </w:r>
    <w:r>
      <w:rPr>
        <w:color w:val="595959"/>
        <w:sz w:val="15"/>
        <w:szCs w:val="15"/>
      </w:rPr>
      <w:tab/>
      <w:t xml:space="preserve">Página </w:t>
    </w:r>
    <w:r>
      <w:rPr>
        <w:color w:val="595959"/>
        <w:sz w:val="15"/>
        <w:szCs w:val="15"/>
      </w:rPr>
      <w:fldChar w:fldCharType="begin"/>
    </w:r>
    <w:r>
      <w:rPr>
        <w:color w:val="595959"/>
        <w:sz w:val="15"/>
        <w:szCs w:val="15"/>
      </w:rPr>
      <w:instrText>PAGE</w:instrText>
    </w:r>
    <w:r>
      <w:rPr>
        <w:color w:val="595959"/>
        <w:sz w:val="15"/>
        <w:szCs w:val="15"/>
      </w:rPr>
      <w:fldChar w:fldCharType="separate"/>
    </w:r>
    <w:r w:rsidR="001162E8">
      <w:rPr>
        <w:noProof/>
        <w:color w:val="595959"/>
        <w:sz w:val="15"/>
        <w:szCs w:val="15"/>
      </w:rPr>
      <w:t>1</w:t>
    </w:r>
    <w:r>
      <w:rPr>
        <w:color w:val="595959"/>
        <w:sz w:val="15"/>
        <w:szCs w:val="15"/>
      </w:rPr>
      <w:fldChar w:fldCharType="end"/>
    </w:r>
    <w:r>
      <w:rPr>
        <w:color w:val="595959"/>
        <w:sz w:val="15"/>
        <w:szCs w:val="15"/>
      </w:rPr>
      <w:t xml:space="preserve"> de </w:t>
    </w:r>
    <w:r>
      <w:rPr>
        <w:color w:val="595959"/>
        <w:sz w:val="15"/>
        <w:szCs w:val="15"/>
      </w:rPr>
      <w:fldChar w:fldCharType="begin"/>
    </w:r>
    <w:r>
      <w:rPr>
        <w:color w:val="595959"/>
        <w:sz w:val="15"/>
        <w:szCs w:val="15"/>
      </w:rPr>
      <w:instrText>NUMPAGES</w:instrText>
    </w:r>
    <w:r>
      <w:rPr>
        <w:color w:val="595959"/>
        <w:sz w:val="15"/>
        <w:szCs w:val="15"/>
      </w:rPr>
      <w:fldChar w:fldCharType="separate"/>
    </w:r>
    <w:r w:rsidR="001162E8">
      <w:rPr>
        <w:noProof/>
        <w:color w:val="595959"/>
        <w:sz w:val="15"/>
        <w:szCs w:val="15"/>
      </w:rPr>
      <w:t>2</w:t>
    </w:r>
    <w:r>
      <w:rPr>
        <w:color w:val="595959"/>
        <w:sz w:val="15"/>
        <w:szCs w:val="1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F345C4" w:rsidRDefault="00F345C4">
      <w:r>
        <w:separator/>
      </w:r>
    </w:p>
  </w:footnote>
  <w:footnote w:type="continuationSeparator" w:id="0">
    <w:p w:rsidR="00F345C4" w:rsidRDefault="00F345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846359" w:rsidRDefault="00000000">
    <w:pPr>
      <w:pBdr>
        <w:bottom w:val="single" w:sz="4" w:space="4" w:color="DDDDDD"/>
      </w:pBdr>
      <w:tabs>
        <w:tab w:val="right" w:pos="9026"/>
      </w:tabs>
    </w:pPr>
    <w:r>
      <w:rPr>
        <w:b/>
        <w:bCs/>
        <w:color w:val="595959"/>
        <w:sz w:val="16"/>
        <w:szCs w:val="16"/>
      </w:rPr>
      <w:t xml:space="preserve">Hoja de Encargo </w:t>
    </w:r>
    <w:proofErr w:type="spellStart"/>
    <w:r>
      <w:rPr>
        <w:b/>
        <w:bCs/>
        <w:color w:val="595959"/>
        <w:sz w:val="16"/>
        <w:szCs w:val="16"/>
      </w:rPr>
      <w:t>nº</w:t>
    </w:r>
    <w:proofErr w:type="spellEnd"/>
    <w:r>
      <w:rPr>
        <w:b/>
        <w:bCs/>
        <w:color w:val="595959"/>
        <w:sz w:val="16"/>
        <w:szCs w:val="16"/>
      </w:rPr>
      <w:t xml:space="preserve"> 1 — Fase 1</w:t>
    </w:r>
    <w:r>
      <w:rPr>
        <w:color w:val="595959"/>
        <w:sz w:val="15"/>
        <w:szCs w:val="15"/>
      </w:rPr>
      <w:tab/>
      <w:t>Anexo I al Acuerdo Marco PD-AM-2026-DOLMEN-01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AE44A2"/>
    <w:multiLevelType w:val="hybridMultilevel"/>
    <w:tmpl w:val="8FFE6E06"/>
    <w:lvl w:ilvl="0" w:tplc="69B2610E">
      <w:start w:val="1"/>
      <w:numFmt w:val="bullet"/>
      <w:lvlText w:val="●"/>
      <w:lvlJc w:val="left"/>
      <w:pPr>
        <w:ind w:left="720" w:hanging="360"/>
      </w:pPr>
    </w:lvl>
    <w:lvl w:ilvl="1" w:tplc="DE167E02">
      <w:start w:val="1"/>
      <w:numFmt w:val="bullet"/>
      <w:lvlText w:val="○"/>
      <w:lvlJc w:val="left"/>
      <w:pPr>
        <w:ind w:left="1440" w:hanging="360"/>
      </w:pPr>
    </w:lvl>
    <w:lvl w:ilvl="2" w:tplc="B7C69DFE">
      <w:start w:val="1"/>
      <w:numFmt w:val="bullet"/>
      <w:lvlText w:val="■"/>
      <w:lvlJc w:val="left"/>
      <w:pPr>
        <w:ind w:left="2160" w:hanging="360"/>
      </w:pPr>
    </w:lvl>
    <w:lvl w:ilvl="3" w:tplc="B27CDD44">
      <w:start w:val="1"/>
      <w:numFmt w:val="bullet"/>
      <w:lvlText w:val="●"/>
      <w:lvlJc w:val="left"/>
      <w:pPr>
        <w:ind w:left="2880" w:hanging="360"/>
      </w:pPr>
    </w:lvl>
    <w:lvl w:ilvl="4" w:tplc="FFE49198">
      <w:start w:val="1"/>
      <w:numFmt w:val="bullet"/>
      <w:lvlText w:val="○"/>
      <w:lvlJc w:val="left"/>
      <w:pPr>
        <w:ind w:left="3600" w:hanging="360"/>
      </w:pPr>
    </w:lvl>
    <w:lvl w:ilvl="5" w:tplc="E3B8CDC6">
      <w:start w:val="1"/>
      <w:numFmt w:val="bullet"/>
      <w:lvlText w:val="■"/>
      <w:lvlJc w:val="left"/>
      <w:pPr>
        <w:ind w:left="4320" w:hanging="360"/>
      </w:pPr>
    </w:lvl>
    <w:lvl w:ilvl="6" w:tplc="AA68EC7C">
      <w:start w:val="1"/>
      <w:numFmt w:val="bullet"/>
      <w:lvlText w:val="●"/>
      <w:lvlJc w:val="left"/>
      <w:pPr>
        <w:ind w:left="5040" w:hanging="360"/>
      </w:pPr>
    </w:lvl>
    <w:lvl w:ilvl="7" w:tplc="039A8FE8">
      <w:start w:val="1"/>
      <w:numFmt w:val="bullet"/>
      <w:lvlText w:val="●"/>
      <w:lvlJc w:val="left"/>
      <w:pPr>
        <w:ind w:left="5760" w:hanging="360"/>
      </w:pPr>
    </w:lvl>
    <w:lvl w:ilvl="8" w:tplc="5CE42020">
      <w:start w:val="1"/>
      <w:numFmt w:val="bullet"/>
      <w:lvlText w:val="●"/>
      <w:lvlJc w:val="left"/>
      <w:pPr>
        <w:ind w:left="6480" w:hanging="360"/>
      </w:pPr>
    </w:lvl>
  </w:abstractNum>
  <w:abstractNum w:abstractNumId="1" w15:restartNumberingAfterBreak="0">
    <w:nsid w:val="67B60CAB"/>
    <w:multiLevelType w:val="hybridMultilevel"/>
    <w:tmpl w:val="595C8EDC"/>
    <w:lvl w:ilvl="0" w:tplc="2B3AC254">
      <w:start w:val="1"/>
      <w:numFmt w:val="decimal"/>
      <w:lvlText w:val="%1."/>
      <w:lvlJc w:val="left"/>
      <w:pPr>
        <w:ind w:left="460" w:hanging="260"/>
      </w:pPr>
    </w:lvl>
    <w:lvl w:ilvl="1" w:tplc="924AA370">
      <w:numFmt w:val="decimal"/>
      <w:lvlText w:val=""/>
      <w:lvlJc w:val="left"/>
    </w:lvl>
    <w:lvl w:ilvl="2" w:tplc="716CA696">
      <w:numFmt w:val="decimal"/>
      <w:lvlText w:val=""/>
      <w:lvlJc w:val="left"/>
    </w:lvl>
    <w:lvl w:ilvl="3" w:tplc="74BE32E4">
      <w:numFmt w:val="decimal"/>
      <w:lvlText w:val=""/>
      <w:lvlJc w:val="left"/>
    </w:lvl>
    <w:lvl w:ilvl="4" w:tplc="B972BF1A">
      <w:numFmt w:val="decimal"/>
      <w:lvlText w:val=""/>
      <w:lvlJc w:val="left"/>
    </w:lvl>
    <w:lvl w:ilvl="5" w:tplc="B85EA008">
      <w:numFmt w:val="decimal"/>
      <w:lvlText w:val=""/>
      <w:lvlJc w:val="left"/>
    </w:lvl>
    <w:lvl w:ilvl="6" w:tplc="04AC7CF2">
      <w:numFmt w:val="decimal"/>
      <w:lvlText w:val=""/>
      <w:lvlJc w:val="left"/>
    </w:lvl>
    <w:lvl w:ilvl="7" w:tplc="E086350A">
      <w:numFmt w:val="decimal"/>
      <w:lvlText w:val=""/>
      <w:lvlJc w:val="left"/>
    </w:lvl>
    <w:lvl w:ilvl="8" w:tplc="0EA88D1E">
      <w:numFmt w:val="decimal"/>
      <w:lvlText w:val=""/>
      <w:lvlJc w:val="left"/>
    </w:lvl>
  </w:abstractNum>
  <w:abstractNum w:abstractNumId="2" w15:restartNumberingAfterBreak="0">
    <w:nsid w:val="74E1208B"/>
    <w:multiLevelType w:val="hybridMultilevel"/>
    <w:tmpl w:val="5FBA01C4"/>
    <w:lvl w:ilvl="0" w:tplc="1F86BE3A">
      <w:start w:val="1"/>
      <w:numFmt w:val="bullet"/>
      <w:lvlText w:val="•"/>
      <w:lvlJc w:val="left"/>
      <w:pPr>
        <w:ind w:left="460" w:hanging="260"/>
      </w:pPr>
      <w:rPr>
        <w:color w:val="D5323D"/>
      </w:rPr>
    </w:lvl>
    <w:lvl w:ilvl="1" w:tplc="7084E24E">
      <w:numFmt w:val="decimal"/>
      <w:lvlText w:val=""/>
      <w:lvlJc w:val="left"/>
    </w:lvl>
    <w:lvl w:ilvl="2" w:tplc="657496A0">
      <w:numFmt w:val="decimal"/>
      <w:lvlText w:val=""/>
      <w:lvlJc w:val="left"/>
    </w:lvl>
    <w:lvl w:ilvl="3" w:tplc="FB28E21A">
      <w:numFmt w:val="decimal"/>
      <w:lvlText w:val=""/>
      <w:lvlJc w:val="left"/>
    </w:lvl>
    <w:lvl w:ilvl="4" w:tplc="96BC5498">
      <w:numFmt w:val="decimal"/>
      <w:lvlText w:val=""/>
      <w:lvlJc w:val="left"/>
    </w:lvl>
    <w:lvl w:ilvl="5" w:tplc="B0B0EB36">
      <w:numFmt w:val="decimal"/>
      <w:lvlText w:val=""/>
      <w:lvlJc w:val="left"/>
    </w:lvl>
    <w:lvl w:ilvl="6" w:tplc="33247E34">
      <w:numFmt w:val="decimal"/>
      <w:lvlText w:val=""/>
      <w:lvlJc w:val="left"/>
    </w:lvl>
    <w:lvl w:ilvl="7" w:tplc="0F4898AE">
      <w:numFmt w:val="decimal"/>
      <w:lvlText w:val=""/>
      <w:lvlJc w:val="left"/>
    </w:lvl>
    <w:lvl w:ilvl="8" w:tplc="BBB6E0B4">
      <w:numFmt w:val="decimal"/>
      <w:lvlText w:val=""/>
      <w:lvlJc w:val="left"/>
    </w:lvl>
  </w:abstractNum>
  <w:num w:numId="1" w16cid:durableId="2131701681">
    <w:abstractNumId w:val="0"/>
    <w:lvlOverride w:ilvl="0">
      <w:startOverride w:val="1"/>
    </w:lvlOverride>
  </w:num>
  <w:num w:numId="2" w16cid:durableId="1636449546">
    <w:abstractNumId w:val="2"/>
    <w:lvlOverride w:ilvl="0">
      <w:startOverride w:val="1"/>
    </w:lvlOverride>
  </w:num>
  <w:num w:numId="3" w16cid:durableId="264776565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6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6359"/>
    <w:rsid w:val="001162E8"/>
    <w:rsid w:val="00846359"/>
    <w:rsid w:val="00F345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3321FF90"/>
  <w15:docId w15:val="{8B11175B-6B07-DC47-8064-477CC8F02D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color w:val="1A1A1A"/>
        <w:sz w:val="22"/>
        <w:szCs w:val="22"/>
        <w:lang w:val="es-ES" w:eastAsia="es-ES_trad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uiPriority w:val="9"/>
    <w:qFormat/>
    <w:pPr>
      <w:keepNext/>
      <w:pBdr>
        <w:bottom w:val="single" w:sz="6" w:space="6" w:color="D5323D"/>
      </w:pBdr>
      <w:spacing w:before="300" w:after="140"/>
      <w:outlineLvl w:val="0"/>
    </w:pPr>
    <w:rPr>
      <w:b/>
      <w:bCs/>
      <w:color w:val="D5323D"/>
      <w:sz w:val="26"/>
      <w:szCs w:val="26"/>
    </w:rPr>
  </w:style>
  <w:style w:type="paragraph" w:styleId="Ttulo2">
    <w:name w:val="heading 2"/>
    <w:uiPriority w:val="9"/>
    <w:semiHidden/>
    <w:unhideWhenUsed/>
    <w:qFormat/>
    <w:pPr>
      <w:keepNext/>
      <w:spacing w:before="180" w:after="90"/>
      <w:outlineLvl w:val="1"/>
    </w:pPr>
    <w:rPr>
      <w:b/>
      <w:bCs/>
    </w:rPr>
  </w:style>
  <w:style w:type="paragraph" w:styleId="Ttulo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Ttulo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Ttulo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Ttulo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tulo">
    <w:name w:val="Title"/>
    <w:uiPriority w:val="10"/>
    <w:qFormat/>
    <w:rPr>
      <w:sz w:val="56"/>
      <w:szCs w:val="56"/>
    </w:rPr>
  </w:style>
  <w:style w:type="paragraph" w:customStyle="1" w:styleId="Textoennegrita1">
    <w:name w:val="Texto en negrita1"/>
    <w:qFormat/>
    <w:rPr>
      <w:b/>
      <w:bCs/>
    </w:rPr>
  </w:style>
  <w:style w:type="paragraph" w:styleId="Prrafodelista">
    <w:name w:val="List Paragraph"/>
    <w:qFormat/>
  </w:style>
  <w:style w:type="character" w:styleId="Hipervnculo">
    <w:name w:val="Hyperlink"/>
    <w:uiPriority w:val="99"/>
    <w:unhideWhenUsed/>
    <w:rPr>
      <w:color w:val="0563C1"/>
      <w:u w:val="single"/>
    </w:rPr>
  </w:style>
  <w:style w:type="character" w:styleId="Refdenotaalpie">
    <w:name w:val="footnote reference"/>
    <w:uiPriority w:val="99"/>
    <w:semiHidden/>
    <w:unhideWhenUsed/>
    <w:rPr>
      <w:vertAlign w:val="superscript"/>
    </w:rPr>
  </w:style>
  <w:style w:type="paragraph" w:styleId="Textonotapie">
    <w:name w:val="footnote text"/>
    <w:link w:val="TextonotapieCar"/>
    <w:uiPriority w:val="99"/>
    <w:semiHidden/>
    <w:unhideWhenUsed/>
    <w:rPr>
      <w:sz w:val="20"/>
      <w:szCs w:val="20"/>
    </w:rPr>
  </w:style>
  <w:style w:type="character" w:customStyle="1" w:styleId="TextonotapieCar">
    <w:name w:val="Texto nota pie Car"/>
    <w:link w:val="Textonotapie"/>
    <w:uiPriority w:val="99"/>
    <w:semiHidden/>
    <w:unhideWhenUsed/>
    <w:rPr>
      <w:sz w:val="20"/>
      <w:szCs w:val="20"/>
    </w:rPr>
  </w:style>
  <w:style w:type="character" w:styleId="Refdenotaalfinal">
    <w:name w:val="endnote reference"/>
    <w:uiPriority w:val="99"/>
    <w:semiHidden/>
    <w:unhideWhenUsed/>
    <w:rPr>
      <w:vertAlign w:val="superscript"/>
    </w:rPr>
  </w:style>
  <w:style w:type="paragraph" w:styleId="Textonotaalfinal">
    <w:name w:val="endnote text"/>
    <w:link w:val="TextonotaalfinalCar"/>
    <w:uiPriority w:val="99"/>
    <w:semiHidden/>
    <w:unhideWhenUsed/>
    <w:rPr>
      <w:sz w:val="20"/>
      <w:szCs w:val="20"/>
    </w:rPr>
  </w:style>
  <w:style w:type="character" w:customStyle="1" w:styleId="TextonotaalfinalCar">
    <w:name w:val="Texto nota al final Car"/>
    <w:link w:val="Textonotaalfinal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840</Words>
  <Characters>4620</Characters>
  <Application>Microsoft Office Word</Application>
  <DocSecurity>0</DocSecurity>
  <Lines>38</Lines>
  <Paragraphs>10</Paragraphs>
  <ScaleCrop>false</ScaleCrop>
  <Company/>
  <LinksUpToDate>false</LinksUpToDate>
  <CharactersWithSpaces>5450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Hoja de Encargo nº 1 — Fase 1 Diagnóstico — DOLMEN Granitos y Mármoles S.L.</dc:title>
  <dc:creator>Pumpún Dixital S.L.</dc:creator>
  <cp:lastModifiedBy>José Carlos García Sánchez</cp:lastModifiedBy>
  <cp:revision>2</cp:revision>
  <dcterms:created xsi:type="dcterms:W3CDTF">2026-06-30T09:41:00Z</dcterms:created>
  <dcterms:modified xsi:type="dcterms:W3CDTF">2026-06-30T10:06:00Z</dcterms:modified>
</cp:coreProperties>
</file>