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200"/>
      </w:pPr>
      <w:r>
        <w:rPr>
          <w:b/>
          <w:bCs/>
          <w:color w:val="D5323D"/>
          <w:sz w:val="40"/>
          <w:szCs w:val="40"/>
        </w:rPr>
        <w:t xml:space="preserve">PUMPÚN DIXITAL</w:t>
      </w:r>
      <w:r>
        <w:rPr>
          <w:b/>
          <w:bCs/>
          <w:color w:val="1A1A1A"/>
          <w:sz w:val="40"/>
          <w:szCs w:val="40"/>
        </w:rPr>
        <w:t xml:space="preserve">  S.L.</w:t>
      </w:r>
    </w:p>
    <w:p>
      <w:pPr>
        <w:spacing w:after="1400"/>
      </w:pPr>
      <w:r>
        <w:rPr>
          <w:color w:val="595959"/>
          <w:sz w:val="20"/>
          <w:szCs w:val="20"/>
        </w:rPr>
        <w:t xml:space="preserve">Software · Serviços geridos · Inteligência Artificial</w:t>
      </w:r>
    </w:p>
    <w:p>
      <w:r>
        <w:rPr>
          <w:b/>
          <w:bCs/>
          <w:color w:val="595959"/>
          <w:sz w:val="24"/>
          <w:szCs w:val="24"/>
        </w:rPr>
        <w:t xml:space="preserve">PROPOSTA DE SERVIÇOS</w:t>
      </w:r>
    </w:p>
    <w:p>
      <w:pPr>
        <w:spacing w:after="120"/>
      </w:pPr>
      <w:r>
        <w:rPr>
          <w:b/>
          <w:bCs/>
          <w:color w:val="1A1A1A"/>
          <w:sz w:val="36"/>
          <w:szCs w:val="36"/>
        </w:rPr>
        <w:t xml:space="preserve">Consultoria e implementação de Inteligência Artificial e automatização de processos</w:t>
      </w:r>
    </w:p>
    <w:p>
      <w:pPr>
        <w:pBdr>
          <w:bottom w:val="single" w:color="D5323D" w:sz="10" w:space="8"/>
        </w:pBdr>
        <w:spacing w:before="200"/>
      </w:pPr>
      <w:r>
        <w:t xml:space="preserve"/>
      </w:r>
    </w:p>
    <w:p>
      <w:pPr>
        <w:spacing w:before="600"/>
      </w:pPr>
      <w:r>
        <w:rPr>
          <w:color w:val="595959"/>
          <w:sz w:val="20"/>
          <w:szCs w:val="20"/>
        </w:rPr>
        <w:t xml:space="preserve">Cliente:</w:t>
      </w:r>
    </w:p>
    <w:p>
      <w:r>
        <w:rPr>
          <w:b/>
          <w:bCs/>
          <w:color w:val="1A1A1A"/>
          <w:sz w:val="26"/>
          <w:szCs w:val="26"/>
        </w:rPr>
        <w:t xml:space="preserve">DOLMEN GRANITOS Y MÁRMOLES, S.L.</w:t>
      </w:r>
    </w:p>
    <w:p>
      <w:pPr>
        <w:spacing w:before="500"/>
      </w:pPr>
      <w:r>
        <w:rPr>
          <w:color w:val="595959"/>
          <w:sz w:val="20"/>
          <w:szCs w:val="20"/>
        </w:rPr>
        <w:t xml:space="preserve">Por:</w:t>
      </w:r>
    </w:p>
    <w:p>
      <w:r>
        <w:rPr>
          <w:b/>
          <w:bCs/>
          <w:color w:val="1A1A1A"/>
          <w:sz w:val="24"/>
          <w:szCs w:val="24"/>
        </w:rPr>
        <w:t xml:space="preserve">Pumpún Dixital, S.L.</w:t>
      </w:r>
    </w:p>
    <w:p>
      <w:r>
        <w:rPr>
          <w:color w:val="595959"/>
          <w:sz w:val="18"/>
          <w:szCs w:val="18"/>
        </w:rPr>
        <w:t xml:space="preserve">Vigo · Madrid · Certificação ENS Categoria Alta</w:t>
      </w:r>
    </w:p>
    <w:p>
      <w:pPr>
        <w:spacing w:before="900"/>
      </w:pPr>
      <w:r>
        <w:rPr>
          <w:color w:val="595959"/>
          <w:sz w:val="18"/>
          <w:szCs w:val="18"/>
        </w:rPr>
        <w:t xml:space="preserve">Documento confidencial · </w:t>
      </w:r>
      <w:r>
        <w:rPr>
          <w:color w:val="595959"/>
          <w:sz w:val="18"/>
          <w:szCs w:val="18"/>
        </w:rPr>
        <w:t xml:space="preserve">30 de junho de 2026</w:t>
      </w:r>
    </w:p>
    <w:p>
      <w:r>
        <w:rPr>
          <w:color w:val="595959"/>
          <w:sz w:val="18"/>
          <w:szCs w:val="18"/>
        </w:rPr>
        <w:t xml:space="preserve">Ref. proposta: PD-CONS-2026-DOLMEN-01</w:t>
      </w:r>
    </w:p>
    <w:p>
      <w:pPr>
        <w:sectPr>
          <w:pgSz w:w="11906" w:h="16838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t xml:space="preserve">1. Apresentação e contexto</w:t>
      </w:r>
    </w:p>
    <w:p>
      <w:pPr>
        <w:spacing w:after="140" w:line="276"/>
        <w:jc w:val="both"/>
      </w:pPr>
      <w:r>
        <w:t xml:space="preserve">A Pumpún Dixital, S.L. é uma empresa espanhola de software e serviços geridos, com sedes em Vigo e Madrid, especializada em inteligência artificial, automatização de processos e desenvolvimento de plataformas para ambientes exigentes em segurança e conformidade. Operamos ao abrigo da certificação do Esquema Nacional de Segurança (ENS) em Categoria Alta e dispomos de um departamento de I&amp;D próprio dedicado a soluções de IA.</w:t>
      </w:r>
    </w:p>
    <w:p>
      <w:pPr>
        <w:spacing w:after="140" w:line="276"/>
        <w:jc w:val="both"/>
      </w:pPr>
      <w:r>
        <w:t xml:space="preserve">A DOLMEN Granitos y Mármoles, S.L. desenvolve a sua actividade na extracção de pedra natural em pedreira —com aprovisionamento de bloco em diversos países— e na sua posterior transformação. Trata-se de um sector intensivo em processos físicos, logística internacional de materiais de grande tonelagem, controlo de qualidade do produto e gestão comercial de um catálogo amplo e variável. Este perfil oferece um terreno especialmente fértil para a incorporação de IA e automatização, precisamente porque grande parte do conhecimento e das decisões reside hoje em pessoas e processos manuais.</w:t>
      </w:r>
    </w:p>
    <w:p>
      <w:pPr>
        <w:spacing w:after="140" w:line="276"/>
        <w:jc w:val="both"/>
      </w:pPr>
      <w:r>
        <w:t xml:space="preserve">O presente documento propõe um modelo de colaboração por fases que permite à DOLMEN incorporar estas tecnologias de forma progressiva, ordenada e com baixo risco: começando por um diagnóstico delimitado que identifica onde aplicar IA com maior retorno, antes de comprometer investimento em desenvolvimentos concretos.</w:t>
      </w:r>
    </w:p>
    <w:p>
      <w:pPr>
        <w:pStyle w:val="Heading1"/>
      </w:pPr>
      <w:r>
        <w:t xml:space="preserve">2. Objectivos da colaboração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Identificar e priorizar</w:t>
      </w:r>
      <w:r>
        <w:t xml:space="preserve"> os processos da DOLMEN onde a IA e a automatização aportem maior valor em relação ao esforço de implementação.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Dotar a direcção</w:t>
      </w:r>
      <w:r>
        <w:t xml:space="preserve"> de um roteiro realista e sequenciado, com casos de uso ordenados por impacto, custo e prazo.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Implementar soluções concretas</w:t>
      </w:r>
      <w:r>
        <w:t xml:space="preserve"> de forma faseada, medindo resultados antes de escalar.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Transferir conhecimento</w:t>
      </w:r>
      <w:r>
        <w:t xml:space="preserve"> à equipa da DOLMEN para reduzir a dependência externa a médio prazo.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Garantir a conformidade</w:t>
      </w:r>
      <w:r>
        <w:t xml:space="preserve"> em matéria de protecção de dados (RGPD) e segurança da informação desde o primeiro dia.</w:t>
      </w:r>
    </w:p>
    <w:p>
      <w:pPr>
        <w:pStyle w:val="Heading1"/>
      </w:pPr>
      <w:r>
        <w:t xml:space="preserve">3. Abordagem metodológica: colaboração por fases</w:t>
      </w:r>
    </w:p>
    <w:p>
      <w:pPr>
        <w:spacing w:after="140" w:line="276"/>
        <w:jc w:val="both"/>
      </w:pPr>
      <w:r>
        <w:t xml:space="preserve">Quando uma organização parte de um ponto de maturidade baixo em IA, comprometer de uma só vez um grande projecto é arriscado para ambas as partes: nem o cliente sabe ainda o que realmente necessita, nem o prestador pode dimensionar correctamente o âmbito. Por esse motivo, propomos uma colaboração estruturada em três fases sucessivas, cada uma com os seus próprios entregáveis e decisão de continuidade no final.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00"/>
        <w:gridCol w:w="3100"/>
        <w:gridCol w:w="3026"/>
        <w:gridCol w:w="1600"/>
      </w:tblGrid>
      <w:tr>
        <w:trPr>
          <w:tblHeader/>
        </w:trP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Fase</w:t>
            </w:r>
          </w:p>
        </w:tc>
        <w:tc>
          <w:tcPr>
            <w:tcW w:type="dxa" w:w="3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Descrição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Entregável principal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Duração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1</w:t>
            </w:r>
          </w:p>
        </w:tc>
        <w:tc>
          <w:tcPr>
            <w:tcW w:type="dxa" w:w="3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Diagnóstico de maturidade e mapa de oportunidades de IA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Relatório de diagnóstico + roteiro priorizado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5–6 semanas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2</w:t>
            </w:r>
          </w:p>
        </w:tc>
        <w:tc>
          <w:tcPr>
            <w:tcW w:type="dxa" w:w="3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Implementação de casos de uso priorizados (por projectos)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Soluções em produção + documentação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Conforme projecto</w:t>
            </w:r>
          </w:p>
        </w:tc>
      </w:tr>
      <w:tr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3</w:t>
            </w:r>
          </w:p>
        </w:tc>
        <w:tc>
          <w:tcPr>
            <w:tcW w:type="dxa" w:w="3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Acompanhamento, suporte e melhoria contínua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Serviço recorrente + evolução do roteiro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Recorrente</w:t>
            </w:r>
          </w:p>
        </w:tc>
      </w:tr>
    </w:tbl>
    <w:p>
      <w:pPr>
        <w:spacing w:after="140" w:line="276"/>
        <w:jc w:val="both"/>
      </w:pPr>
      <w:r>
        <w:t xml:space="preserve"/>
      </w:r>
    </w:p>
    <w:p>
      <w:pPr>
        <w:spacing w:after="140" w:line="276"/>
        <w:jc w:val="both"/>
      </w:pPr>
      <w:r>
        <w:t xml:space="preserve">A assinatura de um Acordo-Quadro de Prestação de Serviços estabelece de uma só vez as condições comuns (confidencialidade, propriedade intelectual, protecção de dados, responsabilidade e faturação). Cada fase ou projecto concreto é incorporado depois através de uma Folha de Encomenda (Ordem de Trabalho) que detalha o âmbito, os entregáveis, os prazos e o preço, sem necessidade de renegociar o enquadramento jurídico em cada passo.</w:t>
      </w:r>
    </w:p>
    <w:p>
      <w:pPr>
        <w:pStyle w:val="Heading1"/>
      </w:pPr>
      <w:r>
        <w:t xml:space="preserve">4. Fase 1 — Diagnóstico de maturidade e mapa de oportunidades</w:t>
      </w:r>
    </w:p>
    <w:p>
      <w:pPr>
        <w:spacing w:after="140" w:line="276"/>
        <w:jc w:val="both"/>
      </w:pPr>
      <w:r>
        <w:t xml:space="preserve">É a porta de entrada da colaboração e a fase que aqui propomos arrancar de imediato. O seu objectivo é compreender em profundidade como a DOLMEN trabalha hoje e produzir um mapa accionável de onde aplicar IA e automatização, com casos de uso priorizados por retorno.</w:t>
      </w:r>
    </w:p>
    <w:p>
      <w:pPr>
        <w:pStyle w:val="Heading2"/>
      </w:pPr>
      <w:r>
        <w:t xml:space="preserve">4.1. Actividades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Sessões de trabalho com a direcção e com os responsáveis das áreas-chave (pedreira/aprovisionamento, produção/transformação, logística, comercial, qualidade e administração).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Revisão dos fluxos de informação actuais: ferramentas, folhas de cálculo, ERP caso exista, documentação, correio electrónico e pontos de decisão manual.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Identificação de estrangulamentos, tarefas repetitivas, dados subaproveitados e decisões que hoje dependem da experiência de pessoas concretas.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Catalogação dos casos de uso candidatos e avaliação de cada um segundo impacto no negócio, esforço de implementação, disponibilidade de dados e risco.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Priorização conjunta com a DOLMEN e desenho do roteiro.</w:t>
      </w:r>
    </w:p>
    <w:p>
      <w:pPr>
        <w:pStyle w:val="Heading2"/>
      </w:pPr>
      <w:r>
        <w:t xml:space="preserve">4.2. Áreas de oportunidade típicas no sector da pedra natural</w:t>
      </w:r>
    </w:p>
    <w:p>
      <w:pPr>
        <w:spacing w:after="140" w:line="276"/>
        <w:jc w:val="both"/>
      </w:pPr>
      <w:r>
        <w:t xml:space="preserve">A título orientativo, e na expectativa de o validar durante o diagnóstico, em empresas de extracção e transformação de pedra costumam surgir oportunidades como: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Automatização de orçamentos e propostas</w:t>
      </w:r>
      <w:r>
        <w:t xml:space="preserve"> a partir de medidas, tipo de material e acabamentos, reduzindo o tempo de resposta comercial.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Controlo de qualidade assistido por visão artificial</w:t>
      </w:r>
      <w:r>
        <w:t xml:space="preserve"> para classificação de blocos e chapas, detecção de defeitos, veios ou tonalidades, e homogeneização de lotes.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Optimização do corte e aproveitamento do material</w:t>
      </w:r>
      <w:r>
        <w:t xml:space="preserve"> para maximizar o rendimento de cada bloco/chapa e reduzir o desperdício.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Rastreabilidade e gestão de inventário</w:t>
      </w:r>
      <w:r>
        <w:t xml:space="preserve"> de blocos e chapas, com identificação do material e do seu estado ao longo do processo.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Previsão de procura e de aprovisionamento</w:t>
      </w:r>
      <w:r>
        <w:t xml:space="preserve"> considerando os prazos de importação e a sazonalidade.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Assistentes documentais e de correio electrónico</w:t>
      </w:r>
      <w:r>
        <w:t xml:space="preserve"> para gestão de encomendas, guias de remessa, certificados de material e comunicação com fornecedores internacionais.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Catálogo inteligente e recomendação</w:t>
      </w:r>
      <w:r>
        <w:t xml:space="preserve"> que ajude o cliente a encontrar o material por semelhança visual ou características.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Chatbots, assistentes ou clientes de IA</w:t>
      </w:r>
      <w:r>
        <w:t xml:space="preserve"> em modo conversacional capazes de interagir com a base de dados da empresa para obter dados históricos ou extracções de dados em consultas por texto ou voz.</w:t>
      </w:r>
    </w:p>
    <w:p>
      <w:pPr>
        <w:pStyle w:val="Heading2"/>
      </w:pPr>
      <w:r>
        <w:t xml:space="preserve">4.3. Entregáveis da Fase 1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t xml:space="preserve">Relatório de diagnóstico de maturidade digital e de dados da DOLMEN.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t xml:space="preserve">Catálogo de casos de uso de IA e automatização identificados.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t xml:space="preserve">Roteiro priorizado (impacto / esforço) com recomendação da sequência de implementação.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t xml:space="preserve">Estimativa orientativa de investimento e retorno esperado para os casos de uso prioritários.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t xml:space="preserve">Sessão de apresentação de conclusões à direcção.</w:t>
      </w:r>
    </w:p>
    <w:p>
      <w:pPr>
        <w:pStyle w:val="Heading1"/>
      </w:pPr>
      <w:r>
        <w:t xml:space="preserve">5. Fase 2 — Implementação de casos de uso</w:t>
      </w:r>
    </w:p>
    <w:p>
      <w:pPr>
        <w:spacing w:after="140" w:line="276"/>
        <w:jc w:val="both"/>
      </w:pPr>
      <w:r>
        <w:t xml:space="preserve">Concluído o diagnóstico, cada caso de uso priorizado é abordado como um projecto independente, formalizado na sua própria Folha de Encomenda com âmbito, entregáveis, prazo e preço fixo ou por bolsa de horas, conforme convenha. Isto permite à DOLMEN avançar caso a caso, comprovando resultados reais antes de comprometer o investimento seguinte, e reordenar prioridades sempre que o negócio o exija.</w:t>
      </w:r>
    </w:p>
    <w:p>
      <w:pPr>
        <w:spacing w:after="140" w:line="276"/>
        <w:jc w:val="both"/>
      </w:pPr>
      <w:r>
        <w:t xml:space="preserve">O âmbito e a ordem concretos desta fase serão definidos a partir das conclusões da Fase 1, pelo que não se detalham nem se orçamentam no presente documento. Adiantamos, porém, que cada projecto incluirá a respectiva documentação técnica e formação à equipa da DOLMEN.</w:t>
      </w:r>
    </w:p>
    <w:p>
      <w:pPr>
        <w:pStyle w:val="Heading1"/>
      </w:pPr>
      <w:r>
        <w:t xml:space="preserve">6. Fase 3 — Acompanhamento e melhoria contínua</w:t>
      </w:r>
    </w:p>
    <w:p>
      <w:pPr>
        <w:spacing w:after="140" w:line="276"/>
        <w:jc w:val="both"/>
      </w:pPr>
      <w:r>
        <w:t xml:space="preserve">Uma vez que existam soluções em produção, propomos um serviço recorrente de suporte, manutenção evolutiva e assessoria. Inclui a supervisão do correcto funcionamento dos sistemas implementados, a sua melhoria contínua e a actualização periódica do roteiro à medida que surgem novas oportunidades ou o negócio se altera. Formaliza-se mediante a aquisição de bolsas de horas profissionais.</w:t>
      </w:r>
    </w:p>
    <w:p>
      <w:pPr>
        <w:pStyle w:val="Heading1"/>
      </w:pPr>
      <w:r>
        <w:t xml:space="preserve">7. Enquadramento contratual proposto</w:t>
      </w:r>
    </w:p>
    <w:p>
      <w:pPr>
        <w:spacing w:after="140" w:line="276"/>
        <w:jc w:val="both"/>
      </w:pPr>
      <w:r>
        <w:t xml:space="preserve">Propomos articular a relação em dois níveis, o que confere agilidade e segurança jurídica a ambas as partes: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Acordo-Quadro de Prestação de Serviços. </w:t>
      </w:r>
      <w:r>
        <w:t xml:space="preserve">Regula as condições estáveis de toda a colaboração: confidencialidade mútua, propriedade intelectual, protecção de dados, níveis de responsabilidade, faturação, duração e cessação.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Folhas de Encomenda (Ordens de Trabalho). </w:t>
      </w:r>
      <w:r>
        <w:t xml:space="preserve">Uma por cada fase ou projecto, que se incorporam como anexos ao Acordo-Quadro e detalham o âmbito, os entregáveis, o calendário e o preço concretos. O diagnóstico da Fase 1 é a primeira Folha de Encomenda.</w:t>
      </w:r>
    </w:p>
    <w:p>
      <w:pPr>
        <w:spacing w:after="140" w:line="276"/>
        <w:jc w:val="both"/>
      </w:pPr>
      <w:r>
        <w:t xml:space="preserve">Juntamente com o Acordo-Quadro será celebrado, quando proceda o tratamento de dados pessoais da nossa parte, o correspondente Contrato de Subcontratação de Tratamento nos termos do artigo 28.º do RGPD.</w:t>
      </w:r>
    </w:p>
    <w:p>
      <w:pPr>
        <w:pStyle w:val="Heading2"/>
      </w:pPr>
      <w:r>
        <w:t xml:space="preserve">7.1. Propriedade intelectual</w:t>
      </w:r>
    </w:p>
    <w:p>
      <w:pPr>
        <w:spacing w:after="140" w:line="276"/>
        <w:jc w:val="both"/>
      </w:pPr>
      <w:r>
        <w:t xml:space="preserve">O Acordo-Quadro distinguirá com clareza entre o conhecimento, ferramentas e componentes preexistentes e reutilizáveis da Pumpún Dixital (que permanecem da nossa titularidade e, se for o caso, são licenciados à DOLMEN para o seu uso) e os desenvolvimentos realizados à medida especificamente para a DOLMEN, cuja titularidade ou licença de uso será acordada em cada Folha de Encomenda.</w:t>
      </w:r>
    </w:p>
    <w:p>
      <w:pPr>
        <w:pStyle w:val="Heading2"/>
      </w:pPr>
      <w:r>
        <w:t xml:space="preserve">7.2. Protecção de dados e segurança</w:t>
      </w:r>
    </w:p>
    <w:p>
      <w:pPr>
        <w:spacing w:after="140" w:line="276"/>
        <w:jc w:val="both"/>
      </w:pPr>
      <w:r>
        <w:t xml:space="preserve">Todo o trabalho será realizado em conformidade com o RGPD e a legislação espanhola aplicável, com as garantias de segurança próprias de uma organização certificada em ENS Categoria Alta. As ferramentas de IA que se implementem serão concebidas sob o princípio de supervisão humana: os seus resultados constituem um apoio à decisão e requerem validação por parte do pessoal da DOLMEN, mantendo-se sempre as decisões de negócio sob o controlo da empresa.</w:t>
      </w:r>
    </w:p>
    <w:p>
      <w:pPr>
        <w:pStyle w:val="Heading1"/>
      </w:pPr>
      <w:r>
        <w:t xml:space="preserve">8. Investimento</w:t>
      </w:r>
    </w:p>
    <w:p>
      <w:pPr>
        <w:spacing w:after="140" w:line="276"/>
        <w:jc w:val="both"/>
      </w:pPr>
      <w:r>
        <w:t xml:space="preserve">Apresenta-se em seguida a estrutura económica proposta. Os valores da Fase 1 ficam fechados nesta proposta; os das fases seguintes serão concretizados nas respectivas Folhas de Encomenda.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3026"/>
        <w:gridCol w:w="2600"/>
      </w:tblGrid>
      <w:tr>
        <w:trPr>
          <w:tblHeader/>
        </w:trP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Conceito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Modalidade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Valor (€, sem IVA)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1 — Diagnóstico e roteiro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Preço fixo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5.850 €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2 — Implementação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Por projecto (Folha de Encomenda)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 determinar</w:t>
            </w:r>
          </w:p>
        </w:tc>
      </w:tr>
      <w:tr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 3 — Acompanhamento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Bolsas de horas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44,5 €/hora</w:t>
            </w:r>
          </w:p>
        </w:tc>
      </w:tr>
    </w:tbl>
    <w:p>
      <w:pPr>
        <w:spacing w:after="140" w:line="276"/>
        <w:jc w:val="both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rPr>
          <w:b/>
          <w:bCs/>
        </w:rPr>
        <w:t xml:space="preserve">Bonificação por continuidade: </w:t>
      </w:r>
      <w:r>
        <w:t xml:space="preserve">caso a DOLMEN decida avançar para a Fase 2, 50 % do valor da Fase 1 será descontado no primeiro projecto de implementação.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t xml:space="preserve">Os valores não incluem o IVA aplicável.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t xml:space="preserve">Condições de pagamento da Fase 1: 50 % à assinatura da Folha de Encomenda e 50 % à entrega do relatório.</w:t>
      </w:r>
    </w:p>
    <w:p>
      <w:pPr>
        <w:pStyle w:val="ListParagraph"/>
        <w:numPr>
          <w:ilvl w:val="0"/>
          <w:numId w:val="2"/>
        </w:numPr>
        <w:spacing w:after="80" w:line="276"/>
        <w:jc w:val="both"/>
      </w:pPr>
      <w:r>
        <w:t xml:space="preserve">Validade desta proposta: 60 dias de calendário a contar da sua data de emissão.</w:t>
      </w:r>
    </w:p>
    <w:p>
      <w:pPr>
        <w:pStyle w:val="Heading1"/>
      </w:pPr>
      <w:r>
        <w:t xml:space="preserve">9. Calendário estimado da Fase 1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4826"/>
        <w:gridCol w:w="20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Semana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Actividade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Marco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Semanas 1–2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Reunião de arranque, sessões com as áreas e recolha de informação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Kick-off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Semanas 3–4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Análise de processos e dados; catalogação de casos de uso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Rascunho de conclusões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Semanas 5–6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Priorização, elaboração do roteiro e apresentação à direcção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Entrega final</w:t>
            </w:r>
          </w:p>
        </w:tc>
      </w:tr>
    </w:tbl>
    <w:p>
      <w:pPr>
        <w:pStyle w:val="Heading1"/>
      </w:pPr>
      <w:r>
        <w:t xml:space="preserve">10. Próximos passos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Validação desta proposta por parte da DOLMEN.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Assinatura do Acordo-Quadro de Prestação de Serviços e da Folha de Encomenda da Fase 1.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Reunião de arranque (kick-off) e planeamento das sessões de trabalho.</w:t>
      </w:r>
    </w:p>
    <w:p>
      <w:pPr>
        <w:pStyle w:val="ListParagraph"/>
        <w:numPr>
          <w:ilvl w:val="0"/>
          <w:numId w:val="3"/>
        </w:numPr>
        <w:spacing w:after="80" w:line="276"/>
        <w:jc w:val="both"/>
      </w:pPr>
      <w:r>
        <w:t xml:space="preserve">Execução do diagnóstico conforme o calendário anterior.</w:t>
      </w:r>
    </w:p>
    <w:p>
      <w:pPr>
        <w:pStyle w:val="Heading1"/>
      </w:pPr>
      <w:r>
        <w:t xml:space="preserve">11. Conformidade</w:t>
      </w:r>
    </w:p>
    <w:p>
      <w:pPr>
        <w:spacing w:after="140" w:line="276"/>
        <w:jc w:val="both"/>
      </w:pPr>
      <w:r>
        <w:t xml:space="preserve">Em prova de conformidade com o conteúdo desta proposta e para dar início à colaboração descrita, assinam ambas as partes:</w:t>
      </w:r>
    </w:p>
    <w:p>
      <w:pPr>
        <w:spacing w:after="140" w:line="276"/>
        <w:jc w:val="both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60"/>
            </w:pPr>
            <w:r>
              <w:rPr>
                <w:b/>
                <w:bCs/>
                <w:sz w:val="20"/>
                <w:szCs w:val="20"/>
              </w:rPr>
              <w:t xml:space="preserve">Por Pumpún Dixital, S.L.</w:t>
            </w:r>
          </w:p>
          <w:p>
            <w:pPr>
              <w:spacing w:before="700"/>
            </w:pPr>
            <w:r>
              <w:rPr>
                <w:sz w:val="20"/>
                <w:szCs w:val="20"/>
              </w:rPr>
              <w:t xml:space="preserve">Nome: ____________________</w:t>
            </w:r>
          </w:p>
          <w:p>
            <w:r>
              <w:rPr>
                <w:sz w:val="20"/>
                <w:szCs w:val="20"/>
              </w:rPr>
              <w:t xml:space="preserve">Cargo: ____________________</w:t>
            </w:r>
          </w:p>
          <w:p>
            <w:r>
              <w:rPr>
                <w:sz w:val="20"/>
                <w:szCs w:val="20"/>
              </w:rPr>
              <w:t xml:space="preserve">Data: ____________________</w:t>
            </w:r>
          </w:p>
        </w:tc>
        <w:tc>
          <w:tcPr>
            <w:tcW w:type="dxa" w:w="4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60"/>
            </w:pPr>
            <w:r>
              <w:rPr>
                <w:b/>
                <w:bCs/>
                <w:sz w:val="20"/>
                <w:szCs w:val="20"/>
              </w:rPr>
              <w:t xml:space="preserve">Por DOLMEN Granitos y Mármoles, S.L.</w:t>
            </w:r>
          </w:p>
          <w:p>
            <w:pPr>
              <w:spacing w:before="700"/>
            </w:pPr>
            <w:r>
              <w:rPr>
                <w:sz w:val="20"/>
                <w:szCs w:val="20"/>
              </w:rPr>
              <w:t xml:space="preserve">Nome: ____________________</w:t>
            </w:r>
          </w:p>
          <w:p>
            <w:r>
              <w:rPr>
                <w:sz w:val="20"/>
                <w:szCs w:val="20"/>
              </w:rPr>
              <w:t xml:space="preserve">Cargo: ____________________</w:t>
            </w:r>
          </w:p>
          <w:p>
            <w:r>
              <w:rPr>
                <w:sz w:val="20"/>
                <w:szCs w:val="20"/>
              </w:rPr>
              <w:t xml:space="preserve">Data: ____________________</w:t>
            </w:r>
          </w:p>
        </w:tc>
      </w:tr>
    </w:tbl>
    <w:p>
      <w:pPr>
        <w:spacing w:after="140" w:line="276"/>
        <w:jc w:val="both"/>
      </w:pPr>
      <w:r>
        <w:t xml:space="preserve"/>
      </w:r>
    </w:p>
    <w:p>
      <w:pPr>
        <w:spacing w:before="200"/>
      </w:pPr>
      <w:r>
        <w:rPr>
          <w:color w:val="595959"/>
          <w:sz w:val="16"/>
          <w:szCs w:val="16"/>
        </w:rPr>
        <w:t xml:space="preserve">Pumpún Dixital, S.L. · Vigo · Madrid · Certificação ENS Categoria Alta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DDDDD" w:sz="4" w:space="4"/>
      </w:pBdr>
      <w:tabs>
        <w:tab w:val="right" w:pos="9026"/>
      </w:tabs>
    </w:pPr>
    <w:r>
      <w:rPr>
        <w:color w:val="595959"/>
        <w:sz w:val="15"/>
        <w:szCs w:val="15"/>
      </w:rPr>
      <w:t xml:space="preserve">Documento confidencial · PD-CONS-2026-DOLMEN-01</w:t>
    </w:r>
    <w:r>
      <w:rPr>
        <w:color w:val="595959"/>
        <w:sz w:val="15"/>
        <w:szCs w:val="15"/>
      </w:rPr>
      <w:t xml:space="preserve">	Página </w:t>
    </w:r>
    <w:r>
      <w:rPr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95959"/>
        <w:sz w:val="15"/>
        <w:szCs w:val="15"/>
      </w:rPr>
      <w:t xml:space="preserve"> de </w:t>
    </w:r>
    <w:r>
      <w:rPr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DDDDD" w:sz="4" w:space="4"/>
      </w:pBdr>
      <w:tabs>
        <w:tab w:val="right" w:pos="9026"/>
      </w:tabs>
    </w:pPr>
    <w:r>
      <w:rPr>
        <w:b/>
        <w:bCs/>
        <w:color w:val="595959"/>
        <w:sz w:val="16"/>
        <w:szCs w:val="16"/>
      </w:rPr>
      <w:t xml:space="preserve">Pumpún Dixital S.L.</w:t>
    </w:r>
    <w:r>
      <w:rPr>
        <w:color w:val="595959"/>
        <w:sz w:val="16"/>
        <w:szCs w:val="16"/>
      </w:rPr>
      <w:t xml:space="preserve">	Proposta de consultoria em IA — DOLMEN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  <w:rPr>
        <w:color w:val="D5323D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A1A1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D5323D" w:sz="6" w:space="6"/>
      </w:pBdr>
      <w:spacing w:after="160" w:before="320"/>
      <w:outlineLvl w:val="0"/>
    </w:pPr>
    <w:rPr>
      <w:rFonts w:ascii="Arial" w:cs="Arial" w:eastAsia="Arial" w:hAnsi="Arial"/>
      <w:b/>
      <w:bCs/>
      <w:color w:val="D5323D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10" w:before="220"/>
      <w:outlineLvl w:val="1"/>
    </w:pPr>
    <w:rPr>
      <w:rFonts w:ascii="Arial" w:cs="Arial" w:eastAsia="Arial" w:hAnsi="Arial"/>
      <w:b/>
      <w:bCs/>
      <w:color w:val="1A1A1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de serviços de consultoria em IA — DOLMEN Granitos y Mármoles, S.L.</dc:title>
  <dc:creator>Pumpún Dixital S.L.</dc:creator>
  <cp:lastModifiedBy>Un-named</cp:lastModifiedBy>
  <cp:revision>1</cp:revision>
  <dcterms:created xsi:type="dcterms:W3CDTF">2026-06-30T09:52:55.610Z</dcterms:created>
  <dcterms:modified xsi:type="dcterms:W3CDTF">2026-06-30T09:52:55.638Z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