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200"/>
        <w:jc w:val="center"/>
      </w:pPr>
      <w:r>
        <w:rPr>
          <w:b/>
          <w:bCs/>
          <w:color w:val="1A1A1A"/>
          <w:sz w:val="32"/>
          <w:szCs w:val="32"/>
        </w:rPr>
        <w:t xml:space="preserve">ACORDO-QUADRO DE PRESTAÇÃO DE SERVIÇOS</w:t>
      </w:r>
    </w:p>
    <w:p>
      <w:pPr>
        <w:spacing w:after="60"/>
        <w:jc w:val="center"/>
      </w:pPr>
      <w:r>
        <w:rPr>
          <w:color w:val="595959"/>
          <w:sz w:val="22"/>
          <w:szCs w:val="22"/>
        </w:rPr>
        <w:t xml:space="preserve">Consultoria e implementação de Inteligência Artificial e automatização de processos</w:t>
      </w:r>
    </w:p>
    <w:p>
      <w:pPr>
        <w:pBdr>
          <w:bottom w:val="single" w:color="D5323D" w:sz="8" w:space="8"/>
        </w:pBdr>
        <w:spacing w:after="200"/>
        <w:jc w:val="center"/>
      </w:pPr>
      <w:r>
        <w:rPr>
          <w:sz w:val="4"/>
          <w:szCs w:val="4"/>
        </w:rPr>
        <w:t xml:space="preserve"/>
      </w:r>
    </w:p>
    <w:p>
      <w:pPr>
        <w:spacing w:after="240"/>
        <w:jc w:val="center"/>
      </w:pPr>
      <w:r>
        <w:rPr>
          <w:sz w:val="22"/>
          <w:szCs w:val="22"/>
        </w:rPr>
        <w:t xml:space="preserve">Em Vigo, a ____ de ________________ de 2026</w:t>
      </w:r>
    </w:p>
    <w:p>
      <w:pPr>
        <w:pStyle w:val="Heading1"/>
      </w:pPr>
      <w:r>
        <w:t xml:space="preserve">Outorgantes</w:t>
      </w:r>
    </w:p>
    <w:p>
      <w:pPr>
        <w:spacing w:after="140" w:line="276"/>
        <w:jc w:val="both"/>
      </w:pPr>
      <w:r>
        <w:t xml:space="preserve">De uma parte, o Sr. José Carlos García Sánchez, maior de idade, titular do documento de identidade (D.N.I.) n.º 76710308H, em nome e representação de PUMPÚN DIXITAL, S.L. (adiante, «Pumpún» ou «o Prestador»), sociedade de nacionalidade espanhola com sede social em Calle Marqués de Valladares, 14, 4-11, 36201 Vigo (Pontevedra) e com o número de identificação fiscal (C.I.F.) n.º B27757723, na sua qualidade de ____________________, com poderes suficientes para este acto.</w:t>
      </w:r>
    </w:p>
    <w:p>
      <w:pPr>
        <w:spacing w:after="140" w:line="276"/>
        <w:jc w:val="both"/>
      </w:pPr>
      <w:r>
        <w:t xml:space="preserve">E de outra parte, o Sr. David Fernández Sanromán, maior de idade, titular do D.N.I. n.º 36106736W, e a Sra. María Noelia Santomé Iglesias, maior de idade, titular do D.N.I. n.º 36118934X, actuando ambos conjuntamente em nome e representação de DOLMEN GRANITOS Y MÁRMOLES, S.L. (adiante, «DOLMEN» ou «o Cliente»), sociedade de nacionalidade espanhola com sede social em Calle Pontevedra, 4, 4º, 36201 Vigo (Pontevedra) e com o número de identificação fiscal (C.I.F.) n.º B36853935, na sua qualidade de ____________________, com poderes suficientes para este acto.</w:t>
      </w:r>
    </w:p>
    <w:p>
      <w:pPr>
        <w:spacing w:after="140" w:line="276"/>
        <w:jc w:val="both"/>
      </w:pPr>
      <w:r>
        <w:t xml:space="preserve">Ambas as partes, na representação que detêm, reconhecem-se mutuamente capacidade legal suficiente para se obrigarem e outorgarem o presente Acordo-Quadro (adiante, «o Acordo») e, para o efeito,</w:t>
      </w:r>
    </w:p>
    <w:p>
      <w:pPr>
        <w:pStyle w:val="Heading1"/>
      </w:pPr>
      <w:r>
        <w:t xml:space="preserve">Considerandos</w:t>
      </w:r>
    </w:p>
    <w:p>
      <w:pPr>
        <w:spacing w:after="120" w:line="276"/>
        <w:jc w:val="both"/>
      </w:pPr>
      <w:r>
        <w:rPr>
          <w:b/>
          <w:bCs/>
        </w:rPr>
        <w:t xml:space="preserve">I. </w:t>
      </w:r>
      <w:r>
        <w:t xml:space="preserve">Que a Pumpún é uma empresa especializada em software, serviços geridos, inteligência artificial e automatização de processos, que opera ao abrigo da certificação do Esquema Nacional de Segurança (ENS) em Categoria Alta.</w:t>
      </w:r>
    </w:p>
    <w:p>
      <w:pPr>
        <w:spacing w:after="120" w:line="276"/>
        <w:jc w:val="both"/>
      </w:pPr>
      <w:r>
        <w:rPr>
          <w:b/>
          <w:bCs/>
        </w:rPr>
        <w:t xml:space="preserve">II. </w:t>
      </w:r>
      <w:r>
        <w:t xml:space="preserve">Que a DOLMEN desenvolve a sua actividade na extracção de pedra natural em pedreira —com aprovisionamento de bloco em diversos países— e na sua posterior transformação em unidade fabril, e está interessada em incorporar de forma progressiva tecnologias de inteligência artificial e automatização aos seus processos produtivos, logísticos, comerciais e administrativos.</w:t>
      </w:r>
    </w:p>
    <w:p>
      <w:pPr>
        <w:spacing w:after="120" w:line="276"/>
        <w:jc w:val="both"/>
      </w:pPr>
      <w:r>
        <w:rPr>
          <w:b/>
          <w:bCs/>
        </w:rPr>
        <w:t xml:space="preserve">III. </w:t>
      </w:r>
      <w:r>
        <w:t xml:space="preserve">Que ambas as partes desejam articular a sua colaboração sob o conceito de «Pedreira Inteligente e Unidade de Transformação Inteligente», entendido como a incorporação gradual de capacidades de dados, automatização e inteligência artificial ao conjunto da cadeia de valor da DOLMEN, desde a exploração da pedreira até à entrega ao cliente final.</w:t>
      </w:r>
    </w:p>
    <w:p>
      <w:pPr>
        <w:spacing w:after="120" w:line="276"/>
        <w:jc w:val="both"/>
      </w:pPr>
      <w:r>
        <w:rPr>
          <w:b/>
          <w:bCs/>
        </w:rPr>
        <w:t xml:space="preserve">IV. </w:t>
      </w:r>
      <w:r>
        <w:t xml:space="preserve">Que a Pumpún apresentou à DOLMEN uma proposta de serviços (Ref. PD-CONS-2026-DOLMEN-01) estruturada em fases, que a DOLMEN aceitou e que constitui o antecedente do presente Acordo.</w:t>
      </w:r>
    </w:p>
    <w:p>
      <w:pPr>
        <w:spacing w:after="120" w:line="276"/>
        <w:jc w:val="both"/>
      </w:pPr>
      <w:r>
        <w:rPr>
          <w:b/>
          <w:bCs/>
        </w:rPr>
        <w:t xml:space="preserve">V. </w:t>
      </w:r>
      <w:r>
        <w:t xml:space="preserve">Que, em virtude do exposto, as partes acordam celebrar o presente Acordo-Quadro, que regerá as condições gerais da sua relação, com sujeição às seguintes</w:t>
      </w:r>
    </w:p>
    <w:p>
      <w:pPr>
        <w:pStyle w:val="Heading1"/>
      </w:pPr>
      <w:r>
        <w:t xml:space="preserve">Cláusulas</w:t>
      </w:r>
    </w:p>
    <w:p>
      <w:pPr>
        <w:pStyle w:val="Heading2"/>
      </w:pPr>
      <w:r>
        <w:t xml:space="preserve">1. Objecto</w:t>
      </w:r>
    </w:p>
    <w:p>
      <w:pPr>
        <w:spacing w:after="120" w:line="276"/>
        <w:jc w:val="both"/>
      </w:pPr>
      <w:r>
        <w:rPr>
          <w:b/>
          <w:bCs/>
        </w:rPr>
        <w:t xml:space="preserve">1.1. </w:t>
      </w:r>
      <w:r>
        <w:t xml:space="preserve">O presente Acordo tem por objecto estabelecer as condições gerais segundo as quais a Pumpún prestará à DOLMEN serviços de consultoria, concepção, desenvolvimento e implementação de soluções de inteligência artificial e automatização de processos, bem como o seu posterior suporte e manutenção.</w:t>
      </w:r>
    </w:p>
    <w:p>
      <w:pPr>
        <w:spacing w:after="120" w:line="276"/>
        <w:jc w:val="both"/>
      </w:pPr>
      <w:r>
        <w:rPr>
          <w:b/>
          <w:bCs/>
        </w:rPr>
        <w:t xml:space="preserve">1.2. </w:t>
      </w:r>
      <w:r>
        <w:t xml:space="preserve">O Acordo não gera, por si só, obrigação de encomendar ou executar um volume determinado de serviços. Os serviços concretos serão contratados mediante sucessivas Folhas de Encomenda (Ordens de Trabalho) que, uma vez assinadas por ambas as partes, se incorporarão como anexos ao presente Acordo e se regerão por ele.</w:t>
      </w:r>
    </w:p>
    <w:p>
      <w:pPr>
        <w:spacing w:after="120" w:line="276"/>
        <w:jc w:val="both"/>
      </w:pPr>
      <w:r>
        <w:rPr>
          <w:b/>
          <w:bCs/>
        </w:rPr>
        <w:t xml:space="preserve">1.3. </w:t>
      </w:r>
      <w:r>
        <w:t xml:space="preserve">A colaboração estrutura-se, com carácter orientativo, em três fases: (i) Fase 1 — Diagnóstico de maturidade e mapa de oportunidades; (ii) Fase 2 — Implementação de casos de uso priorizados; e (iii) Fase 3 — Acompanhamento, suporte e melhoria contínua, conforme detalhado na proposta antecedente e nas respectivas Folhas de Encomenda.</w:t>
      </w:r>
    </w:p>
    <w:p>
      <w:pPr>
        <w:pStyle w:val="Heading2"/>
      </w:pPr>
      <w:r>
        <w:t xml:space="preserve">2. Folhas de Encomenda</w:t>
      </w:r>
    </w:p>
    <w:p>
      <w:pPr>
        <w:spacing w:after="120" w:line="276"/>
        <w:jc w:val="both"/>
      </w:pPr>
      <w:r>
        <w:rPr>
          <w:b/>
          <w:bCs/>
        </w:rPr>
        <w:t xml:space="preserve">2.1. </w:t>
      </w:r>
      <w:r>
        <w:t xml:space="preserve">Cada serviço concreto será documentado numa Folha de Encomenda que, no mínimo, identificará: o âmbito e a descrição dos trabalhos, os entregáveis, o calendário ou prazo de execução, o preço e a modalidade de faturação, e quaisquer condições particulares aplicáveis.</w:t>
      </w:r>
    </w:p>
    <w:p>
      <w:pPr>
        <w:spacing w:after="120" w:line="276"/>
        <w:jc w:val="both"/>
      </w:pPr>
      <w:r>
        <w:rPr>
          <w:b/>
          <w:bCs/>
        </w:rPr>
        <w:t xml:space="preserve">2.2. </w:t>
      </w:r>
      <w:r>
        <w:t xml:space="preserve">Em caso de contradição entre o presente Acordo e uma Folha de Encomenda, prevalecerá o disposto na Folha de Encomenda relativamente à matéria específica que regule, mantendo-se no demais a plena vigência do Acordo.</w:t>
      </w:r>
    </w:p>
    <w:p>
      <w:pPr>
        <w:spacing w:after="120" w:line="276"/>
        <w:jc w:val="both"/>
      </w:pPr>
      <w:r>
        <w:rPr>
          <w:b/>
          <w:bCs/>
        </w:rPr>
        <w:t xml:space="preserve">2.3. </w:t>
      </w:r>
      <w:r>
        <w:t xml:space="preserve">A modificação do âmbito de uma Folha de Encomenda em curso (controlo de alterações) exigirá acordo escrito de ambas as partes, que registará o seu impacto no prazo e no preço antes da sua execução.</w:t>
      </w:r>
    </w:p>
    <w:p>
      <w:pPr>
        <w:pStyle w:val="Heading2"/>
      </w:pPr>
      <w:r>
        <w:t xml:space="preserve">3. Obrigações das partes</w:t>
      </w:r>
    </w:p>
    <w:p>
      <w:pPr>
        <w:spacing w:after="140" w:line="276"/>
        <w:jc w:val="both"/>
      </w:pPr>
      <w:r>
        <w:t xml:space="preserve">3.1. A Pumpún obriga-se a:</w:t>
      </w:r>
    </w:p>
    <w:p>
      <w:pPr>
        <w:pStyle w:val="ListParagraph"/>
        <w:numPr>
          <w:ilvl w:val="0"/>
          <w:numId w:val="2"/>
        </w:numPr>
        <w:spacing w:after="70" w:line="276"/>
        <w:jc w:val="both"/>
      </w:pPr>
      <w:r>
        <w:t xml:space="preserve">Prestar os serviços com a diligência profissional própria de uma empresa especializada no sector e em conformidade com as boas práticas técnicas aplicáveis.</w:t>
      </w:r>
    </w:p>
    <w:p>
      <w:pPr>
        <w:pStyle w:val="ListParagraph"/>
        <w:numPr>
          <w:ilvl w:val="0"/>
          <w:numId w:val="2"/>
        </w:numPr>
        <w:spacing w:after="70" w:line="276"/>
        <w:jc w:val="both"/>
      </w:pPr>
      <w:r>
        <w:t xml:space="preserve">Afectar pessoal com qualificação suficiente e guardar confidencialidade nos termos da cláusula correspondente.</w:t>
      </w:r>
    </w:p>
    <w:p>
      <w:pPr>
        <w:pStyle w:val="ListParagraph"/>
        <w:numPr>
          <w:ilvl w:val="0"/>
          <w:numId w:val="2"/>
        </w:numPr>
        <w:spacing w:after="70" w:line="276"/>
        <w:jc w:val="both"/>
      </w:pPr>
      <w:r>
        <w:t xml:space="preserve">Informar a DOLMEN do estado de avanço dos trabalhos e de qualquer incidência relevante.</w:t>
      </w:r>
    </w:p>
    <w:p>
      <w:pPr>
        <w:pStyle w:val="ListParagraph"/>
        <w:numPr>
          <w:ilvl w:val="0"/>
          <w:numId w:val="2"/>
        </w:numPr>
        <w:spacing w:after="70" w:line="276"/>
        <w:jc w:val="both"/>
      </w:pPr>
      <w:r>
        <w:t xml:space="preserve">Entregar os trabalhos conforme os entregáveis e prazos acordados em cada Folha de Encomenda.</w:t>
      </w:r>
    </w:p>
    <w:p>
      <w:pPr>
        <w:spacing w:after="140" w:line="276"/>
        <w:jc w:val="both"/>
      </w:pPr>
      <w:r>
        <w:t xml:space="preserve">3.2. A DOLMEN obriga-se a:</w:t>
      </w:r>
    </w:p>
    <w:p>
      <w:pPr>
        <w:pStyle w:val="ListParagraph"/>
        <w:numPr>
          <w:ilvl w:val="0"/>
          <w:numId w:val="2"/>
        </w:numPr>
        <w:spacing w:after="70" w:line="276"/>
        <w:jc w:val="both"/>
      </w:pPr>
      <w:r>
        <w:t xml:space="preserve">Facultar à Pumpún, em tempo e forma, a informação, os acessos, os dados e os meios necessários à prestação dos serviços.</w:t>
      </w:r>
    </w:p>
    <w:p>
      <w:pPr>
        <w:pStyle w:val="ListParagraph"/>
        <w:numPr>
          <w:ilvl w:val="0"/>
          <w:numId w:val="2"/>
        </w:numPr>
        <w:spacing w:after="70" w:line="276"/>
        <w:jc w:val="both"/>
      </w:pPr>
      <w:r>
        <w:t xml:space="preserve">Designar um interlocutor com capacidade de decisão para a coordenação dos trabalhos.</w:t>
      </w:r>
    </w:p>
    <w:p>
      <w:pPr>
        <w:pStyle w:val="ListParagraph"/>
        <w:numPr>
          <w:ilvl w:val="0"/>
          <w:numId w:val="2"/>
        </w:numPr>
        <w:spacing w:after="70" w:line="276"/>
        <w:jc w:val="both"/>
      </w:pPr>
      <w:r>
        <w:t xml:space="preserve">Validar os entregáveis nos prazos acordados e pagar os valores acordados nas condições convencionadas.</w:t>
      </w:r>
    </w:p>
    <w:p>
      <w:pPr>
        <w:pStyle w:val="ListParagraph"/>
        <w:numPr>
          <w:ilvl w:val="0"/>
          <w:numId w:val="2"/>
        </w:numPr>
        <w:spacing w:after="70" w:line="276"/>
        <w:jc w:val="both"/>
      </w:pPr>
      <w:r>
        <w:t xml:space="preserve">Garantir que a informação e os dados que faculta à Pumpún foram obtidos licitamente e que dispõe das autorizações necessárias para o seu tratamento.</w:t>
      </w:r>
    </w:p>
    <w:p>
      <w:pPr>
        <w:pStyle w:val="Heading2"/>
      </w:pPr>
      <w:r>
        <w:t xml:space="preserve">4. Supervisão humana dos sistemas de inteligência artificial</w:t>
      </w:r>
    </w:p>
    <w:p>
      <w:pPr>
        <w:spacing w:after="120" w:line="276"/>
        <w:jc w:val="both"/>
      </w:pPr>
      <w:r>
        <w:rPr>
          <w:b/>
          <w:bCs/>
        </w:rPr>
        <w:t xml:space="preserve">4.1. </w:t>
      </w:r>
      <w:r>
        <w:t xml:space="preserve">As soluções de inteligência artificial implementadas pela Pumpún concebem-se como ferramentas de apoio à decisão. Os seus resultados, previsões, classificações ou recomendações não constituem decisões automáticas vinculativas e requerem validação e supervisão por parte do pessoal da DOLMEN.</w:t>
      </w:r>
    </w:p>
    <w:p>
      <w:pPr>
        <w:spacing w:after="120" w:line="276"/>
        <w:jc w:val="both"/>
      </w:pPr>
      <w:r>
        <w:rPr>
          <w:b/>
          <w:bCs/>
        </w:rPr>
        <w:t xml:space="preserve">4.2. </w:t>
      </w:r>
      <w:r>
        <w:t xml:space="preserve">As decisões de negócio, operacionais, produtivas, de segurança e de qualquer outra índole competem, em todo o caso, à DOLMEN, que mantém o controlo e a responsabilidade última sobre as mesmas. A Pumpún não responde pelas decisões adoptadas pela DOLMEN com base nos resultados fornecidos pelos sistemas.</w:t>
      </w:r>
    </w:p>
    <w:p>
      <w:pPr>
        <w:spacing w:after="120" w:line="276"/>
        <w:jc w:val="both"/>
      </w:pPr>
      <w:r>
        <w:rPr>
          <w:b/>
          <w:bCs/>
        </w:rPr>
        <w:t xml:space="preserve">4.3. </w:t>
      </w:r>
      <w:r>
        <w:t xml:space="preserve">Quando os sistemas tratem dados pessoais ou possam afectar direitos das pessoas, serão concebidos e implementados sob critérios de privacidade desde a concepção e por defeito, proporcionalidade e mínima intervenção, em conformidade com a legislação aplicável.</w:t>
      </w:r>
    </w:p>
    <w:p>
      <w:pPr>
        <w:pStyle w:val="Heading2"/>
      </w:pPr>
      <w:r>
        <w:t xml:space="preserve">5. Preço, faturação e pagamento</w:t>
      </w:r>
    </w:p>
    <w:p>
      <w:pPr>
        <w:spacing w:after="120" w:line="276"/>
        <w:jc w:val="both"/>
      </w:pPr>
      <w:r>
        <w:rPr>
          <w:b/>
          <w:bCs/>
        </w:rPr>
        <w:t xml:space="preserve">5.1. </w:t>
      </w:r>
      <w:r>
        <w:t xml:space="preserve">O preço e a modalidade de faturação (preço fixo, bolsa de horas ou avença recorrente) serão fixados em cada Folha de Encomenda. Os preços entendem-se expressos em euros e sem incluir o IVA ou outros impostos aplicáveis, que serão repercutidos conforme a legislação em vigor.</w:t>
      </w:r>
    </w:p>
    <w:p>
      <w:pPr>
        <w:spacing w:after="120" w:line="276"/>
        <w:jc w:val="both"/>
      </w:pPr>
      <w:r>
        <w:rPr>
          <w:b/>
          <w:bCs/>
        </w:rPr>
        <w:t xml:space="preserve">5.2. </w:t>
      </w:r>
      <w:r>
        <w:t xml:space="preserve">Salvo estipulação diferente na Folha de Encomenda, as facturas serão pagas mediante transferência bancária no prazo de trinta (30) dias a contar da sua data de emissão.</w:t>
      </w:r>
    </w:p>
    <w:p>
      <w:pPr>
        <w:spacing w:after="120" w:line="276"/>
        <w:jc w:val="both"/>
      </w:pPr>
      <w:r>
        <w:rPr>
          <w:b/>
          <w:bCs/>
        </w:rPr>
        <w:t xml:space="preserve">5.3. </w:t>
      </w:r>
      <w:r>
        <w:t xml:space="preserve">O atraso no pagamento dará lugar aos juros de mora previstos na Lei espanhola 3/2004, de 29 de dezembro, de medidas de combate à morosidade nas operações comerciais, sem prejuízo das demais acções que assistam à Pumpún.</w:t>
      </w:r>
    </w:p>
    <w:p>
      <w:pPr>
        <w:pStyle w:val="Heading2"/>
      </w:pPr>
      <w:r>
        <w:t xml:space="preserve">6. Propriedade intelectual e industrial</w:t>
      </w:r>
    </w:p>
    <w:p>
      <w:pPr>
        <w:spacing w:after="120" w:line="276"/>
        <w:jc w:val="both"/>
      </w:pPr>
      <w:r>
        <w:rPr>
          <w:b/>
          <w:bCs/>
        </w:rPr>
        <w:t xml:space="preserve">6.1. </w:t>
      </w:r>
      <w:r>
        <w:t xml:space="preserve">Conhecimento prévio (background). A Pumpún conserva a titularidade exclusiva de todo o conhecimento, metodologias, ferramentas, bibliotecas, componentes, modelos e desenvolvimentos preexistentes ou de uso geral, bem como das melhorias genéricas dos mesmos (adiante, «Material Preexistente»), independentemente de serem utilizados na prestação dos serviços.</w:t>
      </w:r>
    </w:p>
    <w:p>
      <w:pPr>
        <w:spacing w:after="120" w:line="276"/>
        <w:jc w:val="both"/>
      </w:pPr>
      <w:r>
        <w:rPr>
          <w:b/>
          <w:bCs/>
        </w:rPr>
        <w:t xml:space="preserve">6.2. </w:t>
      </w:r>
      <w:r>
        <w:t xml:space="preserve">Resultados à medida (foreground). A titularidade ou, se for o caso, a licença de uso dos desenvolvimentos realizados especificamente e à medida para a DOLMEN será determinada na correspondente Folha de Encomenda. Salvo estipulação expressa em contrário, a cessão ou licença de tais resultados ficará condicionada ao pagamento integral dos valores correspondentes.</w:t>
      </w:r>
    </w:p>
    <w:p>
      <w:pPr>
        <w:spacing w:after="120" w:line="276"/>
        <w:jc w:val="both"/>
      </w:pPr>
      <w:r>
        <w:rPr>
          <w:b/>
          <w:bCs/>
        </w:rPr>
        <w:t xml:space="preserve">6.3. </w:t>
      </w:r>
      <w:r>
        <w:t xml:space="preserve">Na medida em que os resultados à medida incorporem Material Preexistente, a Pumpún concede à DOLMEN uma licença não exclusiva, intransmissível e limitada à finalidade e ao âmbito da encomenda, para o seu uso interno, sem que tal implique qualquer cessão da titularidade do Material Preexistente.</w:t>
      </w:r>
    </w:p>
    <w:p>
      <w:pPr>
        <w:spacing w:after="120" w:line="276"/>
        <w:jc w:val="both"/>
      </w:pPr>
      <w:r>
        <w:rPr>
          <w:b/>
          <w:bCs/>
        </w:rPr>
        <w:t xml:space="preserve">6.4. </w:t>
      </w:r>
      <w:r>
        <w:t xml:space="preserve">Os dados de negócio, operacionais e de qualquer índole aportados ou gerados pela DOLMEN são e continuarão a ser da sua exclusiva titularidade.</w:t>
      </w:r>
    </w:p>
    <w:p>
      <w:pPr>
        <w:pStyle w:val="Heading2"/>
      </w:pPr>
      <w:r>
        <w:t xml:space="preserve">7. Confidencialidade</w:t>
      </w:r>
    </w:p>
    <w:p>
      <w:pPr>
        <w:spacing w:after="120" w:line="276"/>
        <w:jc w:val="both"/>
      </w:pPr>
      <w:r>
        <w:rPr>
          <w:b/>
          <w:bCs/>
        </w:rPr>
        <w:t xml:space="preserve">7.1. </w:t>
      </w:r>
      <w:r>
        <w:t xml:space="preserve">Cada parte obriga-se a manter a mais estrita confidencialidade sobre toda a informação da outra parte a que aceda por ocasião do presente Acordo, e a não a divulgar nem utilizar para fins distintos da sua execução.</w:t>
      </w:r>
    </w:p>
    <w:p>
      <w:pPr>
        <w:spacing w:after="120" w:line="276"/>
        <w:jc w:val="both"/>
      </w:pPr>
      <w:r>
        <w:rPr>
          <w:b/>
          <w:bCs/>
        </w:rPr>
        <w:t xml:space="preserve">7.2. </w:t>
      </w:r>
      <w:r>
        <w:t xml:space="preserve">A obrigação de confidencialidade não abrange a informação que seja de domínio público, que a parte receptora já conhecesse licitamente, ou cuja divulgação seja imposta por norma ou autoridade competente. Esta obrigação subsistirá durante a vigência do Acordo e os cinco (5) anos seguintes à sua extinção.</w:t>
      </w:r>
    </w:p>
    <w:p>
      <w:pPr>
        <w:pStyle w:val="Heading2"/>
      </w:pPr>
      <w:r>
        <w:t xml:space="preserve">8. Protecção de dados pessoais</w:t>
      </w:r>
    </w:p>
    <w:p>
      <w:pPr>
        <w:spacing w:after="120" w:line="276"/>
        <w:jc w:val="both"/>
      </w:pPr>
      <w:r>
        <w:rPr>
          <w:b/>
          <w:bCs/>
        </w:rPr>
        <w:t xml:space="preserve">8.1. </w:t>
      </w:r>
      <w:r>
        <w:t xml:space="preserve">As partes cumprirão o Regulamento (UE) 2016/679 (RGPD) e a Lei Orgânica espanhola 3/2018, de Protecção de Dados Pessoais e garantia dos direitos digitais (LOPDGDD).</w:t>
      </w:r>
    </w:p>
    <w:p>
      <w:pPr>
        <w:spacing w:after="120" w:line="276"/>
        <w:jc w:val="both"/>
      </w:pPr>
      <w:r>
        <w:rPr>
          <w:b/>
          <w:bCs/>
        </w:rPr>
        <w:t xml:space="preserve">8.2. </w:t>
      </w:r>
      <w:r>
        <w:t xml:space="preserve">Quando a prestação de um serviço implique o tratamento pela Pumpún de dados pessoais de que a DOLMEN seja responsável, as partes celebrarão o correspondente Contrato de Subcontratação de Tratamento nos termos do artigo 28.º do RGPD, que se incorporará como anexo e regulará o objecto, a duração, a natureza e a finalidade do tratamento, as categorias de dados e de titulares, as medidas de segurança e o regime de subcontratantes ulteriores.</w:t>
      </w:r>
    </w:p>
    <w:p>
      <w:pPr>
        <w:spacing w:after="120" w:line="276"/>
        <w:jc w:val="both"/>
      </w:pPr>
      <w:r>
        <w:rPr>
          <w:b/>
          <w:bCs/>
        </w:rPr>
        <w:t xml:space="preserve">8.3. </w:t>
      </w:r>
      <w:r>
        <w:t xml:space="preserve">A Pumpún aplicará aos tratamentos as medidas técnicas e organizativas próprias da sua certificação ENS Categoria Alta, sem prejuízo das que correspondam à natureza de cada tratamento.</w:t>
      </w:r>
    </w:p>
    <w:p>
      <w:pPr>
        <w:pStyle w:val="Heading2"/>
      </w:pPr>
      <w:r>
        <w:t xml:space="preserve">9. Responsabilidade</w:t>
      </w:r>
    </w:p>
    <w:p>
      <w:pPr>
        <w:spacing w:after="120" w:line="276"/>
        <w:jc w:val="both"/>
      </w:pPr>
      <w:r>
        <w:rPr>
          <w:b/>
          <w:bCs/>
        </w:rPr>
        <w:t xml:space="preserve">9.1. </w:t>
      </w:r>
      <w:r>
        <w:t xml:space="preserve">A Pumpún responderá pelos danos directos efectivamente causados à DOLMEN por incumprimento doloso ou com negligência grave das suas obrigações. Fica excluída a responsabilidade por danos indirectos, lucros cessantes, perda de negócio, de dados ou de oportunidade.</w:t>
      </w:r>
    </w:p>
    <w:p>
      <w:pPr>
        <w:spacing w:after="120" w:line="276"/>
        <w:jc w:val="both"/>
      </w:pPr>
      <w:r>
        <w:rPr>
          <w:b/>
          <w:bCs/>
        </w:rPr>
        <w:t xml:space="preserve">9.2. </w:t>
      </w:r>
      <w:r>
        <w:t xml:space="preserve">Salvo em casos de dolo, a responsabilidade total e acumulada da Pumpún perante a DOLMEN, a qualquer título, ficará limitada ao valor efectivamente faturado e cobrado ao abrigo da Folha de Encomenda de que decorra a reclamação durante os doze (12) meses anteriores ao facto gerador.</w:t>
      </w:r>
    </w:p>
    <w:p>
      <w:pPr>
        <w:spacing w:after="120" w:line="276"/>
        <w:jc w:val="both"/>
      </w:pPr>
      <w:r>
        <w:rPr>
          <w:b/>
          <w:bCs/>
        </w:rPr>
        <w:t xml:space="preserve">9.3. </w:t>
      </w:r>
      <w:r>
        <w:t xml:space="preserve">As limitações anteriores não serão aplicáveis às obrigações de confidencialidade, de protecção de dados nem aos danos às pessoas, na medida em que a lei não permita a sua limitação.</w:t>
      </w:r>
    </w:p>
    <w:p>
      <w:pPr>
        <w:pStyle w:val="Heading2"/>
      </w:pPr>
      <w:r>
        <w:t xml:space="preserve">10. Pessoal e não aliciamento</w:t>
      </w:r>
    </w:p>
    <w:p>
      <w:pPr>
        <w:spacing w:after="120" w:line="276"/>
        <w:jc w:val="both"/>
      </w:pPr>
      <w:r>
        <w:rPr>
          <w:b/>
          <w:bCs/>
        </w:rPr>
        <w:t xml:space="preserve">10.1. </w:t>
      </w:r>
      <w:r>
        <w:t xml:space="preserve">O pessoal que cada parte destine à execução do Acordo permanecerá sob a sua exclusiva dependência e direcção, sem que se gere qualquer relação laboral com a outra parte.</w:t>
      </w:r>
    </w:p>
    <w:p>
      <w:pPr>
        <w:spacing w:after="120" w:line="276"/>
        <w:jc w:val="both"/>
      </w:pPr>
      <w:r>
        <w:rPr>
          <w:b/>
          <w:bCs/>
        </w:rPr>
        <w:t xml:space="preserve">10.2. </w:t>
      </w:r>
      <w:r>
        <w:t xml:space="preserve">Durante a vigência do Acordo e os doze (12) meses seguintes, nenhuma das partes contratará directamente o pessoal da outra que tenha intervindo nos serviços, salvo autorização escrita.</w:t>
      </w:r>
    </w:p>
    <w:p>
      <w:pPr>
        <w:pStyle w:val="Heading2"/>
      </w:pPr>
      <w:r>
        <w:t xml:space="preserve">11. Duração e cessação</w:t>
      </w:r>
    </w:p>
    <w:p>
      <w:pPr>
        <w:spacing w:after="120" w:line="276"/>
        <w:jc w:val="both"/>
      </w:pPr>
      <w:r>
        <w:rPr>
          <w:b/>
          <w:bCs/>
        </w:rPr>
        <w:t xml:space="preserve">11.1. </w:t>
      </w:r>
      <w:r>
        <w:t xml:space="preserve">O presente Acordo entra em vigor na data da sua assinatura e terá uma duração inicial de dois (2) anos, prorrogável tacitamente por períodos anuais sucessivos, salvo denúncia por qualquer das partes com uma antecedência mínima de dois (2) meses relativamente ao termo do período correspondente.</w:t>
      </w:r>
    </w:p>
    <w:p>
      <w:pPr>
        <w:spacing w:after="120" w:line="276"/>
        <w:jc w:val="both"/>
      </w:pPr>
      <w:r>
        <w:rPr>
          <w:b/>
          <w:bCs/>
        </w:rPr>
        <w:t xml:space="preserve">11.2. </w:t>
      </w:r>
      <w:r>
        <w:t xml:space="preserve">A extinção do Acordo não afectará as Folhas de Encomenda em curso, que continuarão a reger-se por ele até à sua completa conclusão, salvo se as partes acordarem de outro modo.</w:t>
      </w:r>
    </w:p>
    <w:p>
      <w:pPr>
        <w:spacing w:after="120" w:line="276"/>
        <w:jc w:val="both"/>
      </w:pPr>
      <w:r>
        <w:rPr>
          <w:b/>
          <w:bCs/>
        </w:rPr>
        <w:t xml:space="preserve">11.3. </w:t>
      </w:r>
      <w:r>
        <w:t xml:space="preserve">Qualquer das partes poderá resolver o Acordo em caso de incumprimento grave da outra que, interpelada de forma fidedigna, não seja sanado no prazo de trinta (30) dias.</w:t>
      </w:r>
    </w:p>
    <w:p>
      <w:pPr>
        <w:pStyle w:val="Heading2"/>
      </w:pPr>
      <w:r>
        <w:t xml:space="preserve">12. Cessão</w:t>
      </w:r>
    </w:p>
    <w:p>
      <w:pPr>
        <w:spacing w:after="140" w:line="276"/>
        <w:jc w:val="both"/>
      </w:pPr>
      <w:r>
        <w:t xml:space="preserve">Nenhuma das partes poderá ceder a sua posição no Acordo sem o consentimento escrito da outra, que não será recusado injustificadamente.</w:t>
      </w:r>
    </w:p>
    <w:p>
      <w:pPr>
        <w:pStyle w:val="Heading2"/>
      </w:pPr>
      <w:r>
        <w:t xml:space="preserve">13. Comunicações</w:t>
      </w:r>
    </w:p>
    <w:p>
      <w:pPr>
        <w:spacing w:after="140" w:line="276"/>
        <w:jc w:val="both"/>
      </w:pPr>
      <w:r>
        <w:t xml:space="preserve">As comunicações entre as partes serão efectuadas por escrito para as moradas indicadas no cabeçalho ou para os endereços de correio electrónico que se designem, produzindo plenos efeitos as remetidas por esta última via quando fique constância da sua recepção.</w:t>
      </w:r>
    </w:p>
    <w:p>
      <w:pPr>
        <w:pStyle w:val="Heading2"/>
      </w:pPr>
      <w:r>
        <w:t xml:space="preserve">14. Lei aplicável e foro</w:t>
      </w:r>
    </w:p>
    <w:p>
      <w:pPr>
        <w:spacing w:after="120" w:line="276"/>
        <w:jc w:val="both"/>
      </w:pPr>
      <w:r>
        <w:rPr>
          <w:b/>
          <w:bCs/>
        </w:rPr>
        <w:t xml:space="preserve">14.1. </w:t>
      </w:r>
      <w:r>
        <w:t xml:space="preserve">O presente Acordo rege-se pela legislação espanhola.</w:t>
      </w:r>
    </w:p>
    <w:p>
      <w:pPr>
        <w:spacing w:after="120" w:line="276"/>
        <w:jc w:val="both"/>
      </w:pPr>
      <w:r>
        <w:rPr>
          <w:b/>
          <w:bCs/>
        </w:rPr>
        <w:t xml:space="preserve">14.2. </w:t>
      </w:r>
      <w:r>
        <w:t xml:space="preserve">Para a resolução de qualquer litígio decorrente da sua interpretação ou cumprimento, as partes submetem-se, com renúncia a qualquer outro foro que lhes pudesse caber, aos Tribunais da cidade de Vigo (Espanha).</w:t>
      </w:r>
    </w:p>
    <w:p>
      <w:pPr>
        <w:pStyle w:val="Heading2"/>
      </w:pPr>
      <w:r>
        <w:t xml:space="preserve">15. Anexos</w:t>
      </w:r>
    </w:p>
    <w:p>
      <w:pPr>
        <w:spacing w:after="140" w:line="276"/>
        <w:jc w:val="both"/>
      </w:pPr>
      <w:r>
        <w:t xml:space="preserve">Fazem parte integrante do presente Acordo os seguintes anexos:</w:t>
      </w:r>
    </w:p>
    <w:p>
      <w:pPr>
        <w:pStyle w:val="ListParagraph"/>
        <w:numPr>
          <w:ilvl w:val="0"/>
          <w:numId w:val="3"/>
        </w:numPr>
        <w:spacing w:after="70" w:line="276"/>
        <w:jc w:val="both"/>
      </w:pPr>
      <w:r>
        <w:t xml:space="preserve">Anexo I — Folha de Encomenda n.º 1: Fase 1, Diagnóstico de maturidade e mapa de oportunidades.</w:t>
      </w:r>
    </w:p>
    <w:p>
      <w:pPr>
        <w:pStyle w:val="ListParagraph"/>
        <w:numPr>
          <w:ilvl w:val="0"/>
          <w:numId w:val="3"/>
        </w:numPr>
        <w:spacing w:after="70" w:line="276"/>
        <w:jc w:val="both"/>
      </w:pPr>
      <w:r>
        <w:t xml:space="preserve">Anexo II — Apêndice: Roteiro orientativo da implementação de inteligência progressiva («Pedreira Inteligente e Unidade de Transformação Inteligente»).</w:t>
      </w:r>
    </w:p>
    <w:p>
      <w:pPr>
        <w:pStyle w:val="ListParagraph"/>
        <w:numPr>
          <w:ilvl w:val="0"/>
          <w:numId w:val="3"/>
        </w:numPr>
        <w:spacing w:after="70" w:line="276"/>
        <w:jc w:val="both"/>
      </w:pPr>
      <w:r>
        <w:t xml:space="preserve">Anexo III — Contrato de Subcontratação de Tratamento (art. 28.º do RGPD), quando proceda.</w:t>
      </w:r>
    </w:p>
    <w:p>
      <w:pPr>
        <w:pStyle w:val="Heading1"/>
      </w:pPr>
      <w:r>
        <w:t xml:space="preserve">Assinaturas</w:t>
      </w:r>
    </w:p>
    <w:p>
      <w:pPr>
        <w:spacing w:after="140" w:line="276"/>
        <w:jc w:val="both"/>
      </w:pPr>
      <w:r>
        <w:t xml:space="preserve">E, em prova de conformidade, ambas as partes assinam o presente Acordo-Quadro em duplicado e para um só efeito, no lugar e data indicados no cabeçalho.</w:t>
      </w:r>
    </w:p>
    <w:p>
      <w:pPr>
        <w:spacing w:before="20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single" w:color="CCCCCC" w:sz="1"/>
              <w:left w:val="single" w:color="CCCCCC" w:sz="1"/>
              <w:bottom w:val="single" w:color="CCCCCC" w:sz="1"/>
              <w:right w:val="single" w:color="CCCCCC" w:sz="1"/>
            </w:tcBorders>
            <w:tcMar>
              <w:top w:type="dxa" w:w="90"/>
              <w:left w:type="dxa" w:w="140"/>
              <w:bottom w:type="dxa" w:w="90"/>
              <w:right w:type="dxa" w:w="140"/>
            </w:tcMar>
          </w:tcPr>
          <w:p>
            <w:pPr>
              <w:spacing w:after="60"/>
            </w:pPr>
            <w:r>
              <w:rPr>
                <w:b/>
                <w:bCs/>
                <w:sz w:val="20"/>
                <w:szCs w:val="20"/>
              </w:rPr>
              <w:t xml:space="preserve">Por PUMPÚN DIXITAL, S.L.</w:t>
            </w:r>
          </w:p>
          <w:p>
            <w:pPr>
              <w:spacing w:before="800"/>
            </w:pPr>
            <w:r>
              <w:rPr>
                <w:sz w:val="20"/>
                <w:szCs w:val="20"/>
              </w:rPr>
              <w:t xml:space="preserve">Ass.: ____________________</w:t>
            </w:r>
          </w:p>
          <w:p>
            <w:r>
              <w:rPr>
                <w:sz w:val="20"/>
                <w:szCs w:val="20"/>
              </w:rPr>
              <w:t xml:space="preserve">Nome: José Carlos García Sánchez</w:t>
            </w:r>
          </w:p>
          <w:p>
            <w:r>
              <w:rPr>
                <w:sz w:val="20"/>
                <w:szCs w:val="20"/>
              </w:rPr>
              <w:t xml:space="preserve">D.N.I.: 76710308H</w:t>
            </w:r>
          </w:p>
        </w:tc>
        <w:tc>
          <w:tcPr>
            <w:tcW w:type="dxa" w:w="4513"/>
            <w:tcBorders>
              <w:top w:val="single" w:color="CCCCCC" w:sz="1"/>
              <w:left w:val="single" w:color="CCCCCC" w:sz="1"/>
              <w:bottom w:val="single" w:color="CCCCCC" w:sz="1"/>
              <w:right w:val="single" w:color="CCCCCC" w:sz="1"/>
            </w:tcBorders>
            <w:tcMar>
              <w:top w:type="dxa" w:w="90"/>
              <w:left w:type="dxa" w:w="140"/>
              <w:bottom w:type="dxa" w:w="90"/>
              <w:right w:type="dxa" w:w="140"/>
            </w:tcMar>
          </w:tcPr>
          <w:p>
            <w:pPr>
              <w:spacing w:after="60"/>
            </w:pPr>
            <w:r>
              <w:rPr>
                <w:b/>
                <w:bCs/>
                <w:sz w:val="20"/>
                <w:szCs w:val="20"/>
              </w:rPr>
              <w:t xml:space="preserve">Por DOLMEN GRANITOS Y MÁRMOLES, S.L.</w:t>
            </w:r>
          </w:p>
          <w:p>
            <w:pPr>
              <w:spacing w:before="700"/>
            </w:pPr>
            <w:r>
              <w:rPr>
                <w:sz w:val="20"/>
                <w:szCs w:val="20"/>
              </w:rPr>
              <w:t xml:space="preserve">Ass.: ____________________</w:t>
            </w:r>
          </w:p>
          <w:p>
            <w:r>
              <w:rPr>
                <w:sz w:val="20"/>
                <w:szCs w:val="20"/>
              </w:rPr>
              <w:t xml:space="preserve">Nome: David Fernández Sanromán</w:t>
            </w:r>
          </w:p>
          <w:p>
            <w:r>
              <w:rPr>
                <w:sz w:val="20"/>
                <w:szCs w:val="20"/>
              </w:rPr>
              <w:t xml:space="preserve">D.N.I.: 36106736W</w:t>
            </w:r>
          </w:p>
          <w:p>
            <w:pPr>
              <w:spacing w:before="500"/>
            </w:pPr>
            <w:r>
              <w:rPr>
                <w:sz w:val="20"/>
                <w:szCs w:val="20"/>
              </w:rPr>
              <w:t xml:space="preserve">Ass.: ____________________</w:t>
            </w:r>
          </w:p>
          <w:p>
            <w:r>
              <w:rPr>
                <w:sz w:val="20"/>
                <w:szCs w:val="20"/>
              </w:rPr>
              <w:t xml:space="preserve">Nome: María Noelia Santomé Iglesias</w:t>
            </w:r>
          </w:p>
          <w:p>
            <w:r>
              <w:rPr>
                <w:sz w:val="20"/>
                <w:szCs w:val="20"/>
              </w:rPr>
              <w:t xml:space="preserve">D.N.I.: 36118934X</w:t>
            </w:r>
          </w:p>
        </w:tc>
      </w:tr>
    </w:tbl>
    <w:p>
      <w:pPr>
        <w:pStyle w:val="Heading1"/>
        <w:pageBreakBefore/>
      </w:pPr>
      <w:r>
        <w:t xml:space="preserve">Anexo II — Apêndice: Roteiro orientativo</w:t>
      </w:r>
    </w:p>
    <w:p>
      <w:pPr>
        <w:spacing w:after="160"/>
      </w:pPr>
      <w:r>
        <w:rPr>
          <w:i/>
          <w:iCs/>
          <w:color w:val="595959"/>
          <w:sz w:val="20"/>
          <w:szCs w:val="20"/>
        </w:rPr>
        <w:t xml:space="preserve">Implementação de inteligência progressiva — «Pedreira Inteligente e Unidade de Transformação Inteligente»</w:t>
      </w:r>
    </w:p>
    <w:p>
      <w:pPr>
        <w:spacing w:after="140" w:line="276"/>
        <w:jc w:val="both"/>
      </w:pPr>
      <w:r>
        <w:rPr>
          <w:i/>
          <w:iCs/>
        </w:rPr>
        <w:t xml:space="preserve">O presente apêndice tem carácter meramente orientativo e informativo. Não constitui um compromisso de âmbito nem de execução, nem gera qualquer obrigação de contratação. A sua finalidade é ilustrar a potencial evolução da colaboração uma vez abordadas as intervenções iniciais. Qualquer actuação que as partes decidam empreender será formalizada, se for o caso, mediante a correspondente Folha de Encomenda.</w:t>
      </w:r>
    </w:p>
    <w:p>
      <w:pPr>
        <w:spacing w:after="140" w:line="276"/>
        <w:jc w:val="both"/>
      </w:pPr>
      <w:r>
        <w:t xml:space="preserve">Outros elementos abordáveis nesta implementação de inteligência progressiva, uma vez abordados os iniciais, poderiam incorporar a medição automática de stocks de material através de tecnologias já existentes na DOLMEN, como drones, sensores, modelos 3D e gémeos digitais. Poderá incorporar-se o cálculo automático de existências, controlar o avanço da exploração, supervisionar taludes, analisar zonas de risco e gerar relatórios periódicos de produção, stock e planeamento. Do mesmo modo, a IA pode aplicar-se à optimização de perfurações, desmontes e fragmentação, relacionando os parâmetros de trabalho com o tamanho do material obtido, o rendimento posterior na britagem, o consumo energético e os custos associados.</w:t>
      </w:r>
    </w:p>
    <w:p>
      <w:pPr>
        <w:spacing w:after="140" w:line="276"/>
        <w:jc w:val="both"/>
      </w:pPr>
      <w:r>
        <w:t xml:space="preserve">Na unidade fabril existem oportunidades relevantes na automatização do controlo dos processos de britagem, crivagem, lavagem, corte, polimento, classificação e armazenamento, mediante modelos preditivos que ajustem caudais, antecipem entupimentos, reduzam paragens, melhorem a eficiência energética e assegurem uma produção mais estável. Um dos campos de maior impacto é a manutenção preditiva de maquinaria crítica, como britadeiras, tapetes transportadores, crivos, pás carregadoras, dumpers, compressores, máquinas de corte, pontes rolantes, bombas e equipamentos eléctricos, utilizando dados de vibração, temperatura, consumo, pressão, horas de uso e avarias históricas para detectar anomalias e antecipar falhas antes de ocorrerem paragens não planeadas.</w:t>
      </w:r>
    </w:p>
    <w:p>
      <w:pPr>
        <w:spacing w:after="140" w:line="276"/>
        <w:jc w:val="both"/>
      </w:pPr>
      <w:r>
        <w:t xml:space="preserve">A IA pode também ajudar a optimizar os padrões de corte e aproveitamento de blocos e chapas, reduzindo o desperdício, maximizando os metros quadrados vendáveis e priorizando encomendas em função da margem, do prazo, da disponibilidade de material ou dos requisitos do cliente. Outro eixo importante é a rastreabilidade integral, desde a pedreira até ao cliente final, mediante identificação digital de blocos, lotes e peças, integração com o ERP, códigos QR, RFID ou sistemas de visão, de forma que cada material tenha associada a sua origem, localização, processo, histórico de qualidade, destino e documentação correspondente.</w:t>
      </w:r>
    </w:p>
    <w:p>
      <w:pPr>
        <w:spacing w:after="140" w:line="276"/>
        <w:jc w:val="both"/>
      </w:pPr>
      <w:r>
        <w:t xml:space="preserve">Em paralelo, podem desenvolver-se soluções de optimização de frota e logística interna, analisando ciclos de carga e descarga, rotas, consumos de combustível, tempos mortos, rendimento por máquina e custo por tonelada transportada. A IA pode igualmente reforçar a segurança no trabalho mediante detecção de pessoas em zonas de risco, controlo de proximidade entre maquinaria e trabalhadores, verificação do uso de EPI, análise de incidentes e alertas preventivos, sempre sob critérios de privacidade, proporcionalidade e cumprimento normativo.</w:t>
      </w:r>
    </w:p>
    <w:p>
      <w:pPr>
        <w:spacing w:after="140" w:line="276"/>
        <w:jc w:val="both"/>
      </w:pPr>
      <w:r>
        <w:t xml:space="preserve">Em matéria ambiental, podem implementar-se sistemas de monitorização de poeiras, ruído, vibrações, consumo de água, bacias, lamas, recuperação da pedreira e indicadores ESG, com geração automática de relatórios e alertas. Por fim, a automatização pode continuar a estender-se à área administrativa e comercial, tal como se tem feito até agora, mediante leitura inteligente de certificados de qualidade, documentação preventiva, orçamentos, fichas técnicas, catálogos digitais, assistentes internos e ferramentas de apoio às vendas.</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4" w:space="4"/>
      </w:pBdr>
      <w:tabs>
        <w:tab w:val="right" w:pos="9026"/>
      </w:tabs>
    </w:pPr>
    <w:r>
      <w:rPr>
        <w:color w:val="595959"/>
        <w:sz w:val="15"/>
        <w:szCs w:val="15"/>
      </w:rPr>
      <w:t xml:space="preserve">Documento confidencial · Ref. PD-AM-2026-DOLMEN-01</w:t>
    </w:r>
    <w:r>
      <w:rPr>
        <w:color w:val="595959"/>
        <w:sz w:val="15"/>
        <w:szCs w:val="15"/>
      </w:rPr>
      <w:t xml:space="preserve">	Página </w:t>
    </w:r>
    <w:r>
      <w:rPr>
        <w:color w:val="595959"/>
        <w:sz w:val="15"/>
        <w:szCs w:val="15"/>
      </w:rPr>
      <w:fldChar w:fldCharType="begin"/>
      <w:instrText xml:space="preserve">PAGE</w:instrText>
      <w:fldChar w:fldCharType="separate"/>
      <w:fldChar w:fldCharType="end"/>
    </w:r>
    <w:r>
      <w:rPr>
        <w:color w:val="595959"/>
        <w:sz w:val="15"/>
        <w:szCs w:val="15"/>
      </w:rPr>
      <w:t xml:space="preserve"> de </w:t>
    </w:r>
    <w:r>
      <w:rPr>
        <w:color w:val="595959"/>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DDDDD" w:sz="4" w:space="4"/>
      </w:pBdr>
      <w:tabs>
        <w:tab w:val="right" w:pos="9026"/>
      </w:tabs>
    </w:pPr>
    <w:r>
      <w:rPr>
        <w:b/>
        <w:bCs/>
        <w:color w:val="595959"/>
        <w:sz w:val="16"/>
        <w:szCs w:val="16"/>
      </w:rPr>
      <w:t xml:space="preserve">Acordo-Quadro de Prestação de Serviços</w:t>
    </w:r>
    <w:r>
      <w:rPr>
        <w:color w:val="595959"/>
        <w:sz w:val="15"/>
        <w:szCs w:val="15"/>
      </w:rPr>
      <w:t xml:space="preserve">	Pumpún Dixital S.L. — DOLMEN Granitos y Mármoles S.L.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rPr>
        <w:color w:val="D5323D"/>
      </w:rPr>
    </w:lvl>
  </w:abstractNum>
  <w:abstractNum w:abstractNumId="3" w15:restartNumberingAfterBreak="0">
    <w:multiLevelType w:val="hybridMultilevel"/>
    <w:lvl w:ilvl="0" w15:tentative="1">
      <w:start w:val="1"/>
      <w:numFmt w:val="lowerLetter"/>
      <w:lvlText w:val="%1)"/>
      <w:lvlJc w:val="left"/>
      <w:pPr>
        <w:ind w:left="600" w:hanging="32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pBdr>
        <w:bottom w:val="single" w:color="D5323D" w:sz="6" w:space="6"/>
      </w:pBdr>
      <w:spacing w:after="140" w:before="300"/>
      <w:outlineLvl w:val="0"/>
    </w:pPr>
    <w:rPr>
      <w:rFonts w:ascii="Arial" w:cs="Arial" w:eastAsia="Arial" w:hAnsi="Arial"/>
      <w:b/>
      <w:bCs/>
      <w:color w:val="D5323D"/>
      <w:sz w:val="26"/>
      <w:szCs w:val="26"/>
    </w:rPr>
  </w:style>
  <w:style w:type="paragraph" w:styleId="Heading2">
    <w:name w:val="Heading 2"/>
    <w:basedOn w:val="Normal"/>
    <w:next w:val="Normal"/>
    <w:qFormat/>
    <w:pPr>
      <w:keepNext/>
      <w:spacing w:after="90" w:before="180"/>
      <w:outlineLvl w:val="1"/>
    </w:pPr>
    <w:rPr>
      <w:rFonts w:ascii="Arial" w:cs="Arial" w:eastAsia="Arial" w:hAnsi="Arial"/>
      <w:b/>
      <w:bCs/>
      <w:color w:val="1A1A1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Acordo-Quadro de Prestação de Serviços — Pumpún Dixital S.L. / DOLMEN Granitos y Mármoles S.L.</dc:title>
  <dc:creator>Pumpún Dixital S.L.</dc:creator>
  <cp:lastModifiedBy>Un-named</cp:lastModifiedBy>
  <cp:revision>1</cp:revision>
  <dcterms:created xsi:type="dcterms:W3CDTF">2026-06-30T09:54:46.481Z</dcterms:created>
  <dcterms:modified xsi:type="dcterms:W3CDTF">2026-06-30T09:54:46.482Z</dcterms:modified>
</cp:coreProperties>
</file>

<file path=docProps/custom.xml><?xml version="1.0" encoding="utf-8"?>
<Properties xmlns="http://schemas.openxmlformats.org/officeDocument/2006/custom-properties" xmlns:vt="http://schemas.openxmlformats.org/officeDocument/2006/docPropsVTypes"/>
</file>