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120"/>
        <w:jc w:val="center"/>
      </w:pPr>
      <w:r>
        <w:rPr>
          <w:b/>
          <w:bCs/>
          <w:color w:val="1A1A1A"/>
          <w:sz w:val="32"/>
          <w:szCs w:val="32"/>
        </w:rPr>
        <w:t xml:space="preserve">FOLHA DE ENCOMENDA N.º 1</w:t>
      </w:r>
    </w:p>
    <w:p>
      <w:pPr>
        <w:spacing w:after="60"/>
        <w:jc w:val="center"/>
      </w:pPr>
      <w:r>
        <w:rPr>
          <w:color w:val="595959"/>
          <w:sz w:val="22"/>
          <w:szCs w:val="22"/>
        </w:rPr>
        <w:t xml:space="preserve">Fase 1 — Diagnóstico de maturidade e mapa de oportunidades de IA</w:t>
      </w:r>
    </w:p>
    <w:p>
      <w:pPr>
        <w:pBdr>
          <w:bottom w:val="single" w:color="D5323D" w:sz="8" w:space="8"/>
        </w:pBdr>
        <w:spacing w:after="200"/>
        <w:jc w:val="center"/>
      </w:pPr>
      <w:r>
        <w:rPr>
          <w:sz w:val="4"/>
          <w:szCs w:val="4"/>
        </w:rPr>
        <w:t xml:space="preserve"/>
      </w:r>
    </w:p>
    <w:p>
      <w:pPr>
        <w:spacing w:after="140" w:line="276"/>
        <w:jc w:val="both"/>
      </w:pPr>
      <w:r>
        <w:t xml:space="preserve">A presente Folha de Encomenda é celebrada ao abrigo e como Anexo I do Acordo-Quadro de Prestação de Serviços com a referência PD-AM-2026-DOLMEN-01, formalizado entre PUMPÚN DIXITAL, S.L. («Pumpún») e DOLMEN GRANITOS Y MÁRMOLES, S.L. («DOLMEN»), cujos termos são plenamente aplicáveis a esta encomenda. Em caso de contradição, prevalecerá o disposto na presente Folha de Encomenda relativamente à matéria que regula.</w:t>
      </w:r>
    </w:p>
    <w:p>
      <w:pPr>
        <w:pStyle w:val="Heading1"/>
      </w:pPr>
      <w:r>
        <w:t xml:space="preserve">1. Dados da encomenda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Referência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PD-HE-2026-DOLMEN-01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Acordo-Quadro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PD-AM-2026-DOLMEN-01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Cliente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DOLMEN Granitos y Mármoles, S.L. — C.I.F. B36853935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Prestador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Pumpún Dixital, S.L. — ENS Categoria Alta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Fase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Fase 1 — Diagnóstico de maturidade e mapa de oportunidades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Data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____ de ________________ de 2026</w:t>
            </w:r>
          </w:p>
        </w:tc>
      </w:tr>
    </w:tbl>
    <w:p>
      <w:pPr>
        <w:pStyle w:val="Heading1"/>
      </w:pPr>
      <w:r>
        <w:t xml:space="preserve">2. Objecto e âmbito</w:t>
      </w:r>
    </w:p>
    <w:p>
      <w:pPr>
        <w:spacing w:after="120" w:line="276"/>
        <w:jc w:val="both"/>
      </w:pPr>
      <w:r>
        <w:rPr>
          <w:b/>
          <w:bCs/>
        </w:rPr>
        <w:t xml:space="preserve">2.1. </w:t>
      </w:r>
      <w:r>
        <w:t xml:space="preserve">A presente encomenda tem por objecto a realização de um diagnóstico de maturidade digital e de dados da DOLMEN e a elaboração de um mapa priorizado de oportunidades de aplicação de inteligência artificial e automatização ao conjunto da sua cadeia de valor, em linha com o conceito de «Pedreira Inteligente e Unidade de Transformação Inteligente».</w:t>
      </w:r>
    </w:p>
    <w:p>
      <w:pPr>
        <w:spacing w:after="120" w:line="276"/>
        <w:jc w:val="both"/>
      </w:pPr>
      <w:r>
        <w:rPr>
          <w:b/>
          <w:bCs/>
        </w:rPr>
        <w:t xml:space="preserve">2.2. </w:t>
      </w:r>
      <w:r>
        <w:t xml:space="preserve">O âmbito abrange as áreas de pedreira e aprovisionamento, produção e transformação na unidade fabril, logística, comercial, qualidade e administração, na medida em que a DOLMEN faculte a informação e os acessos necessários.</w:t>
      </w:r>
    </w:p>
    <w:p>
      <w:pPr>
        <w:spacing w:after="140" w:line="276"/>
        <w:jc w:val="both"/>
      </w:pPr>
      <w:r>
        <w:t xml:space="preserve">2.3. Ficam expressamente excluídos da presente encomenda: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O desenvolvimento ou a implementação de qualquer solução de IA ou automatização, que compete a fases posteriores e será formalizado, se for o caso, mediante Folhas de Encomenda independentes.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A aquisição de hardware, sensores, licenças de terceiros ou infra-estrutura.</w:t>
      </w:r>
    </w:p>
    <w:p>
      <w:pPr>
        <w:pStyle w:val="Heading1"/>
      </w:pPr>
      <w:r>
        <w:t xml:space="preserve">3. Actividades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Reunião de arranque (kick-off) e planeamento detalhado dos trabalhos.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Sessões de trabalho com a direcção e com os responsáveis das áreas-chave.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Revisão dos fluxos de informação actuais: ferramentas, folhas de cálculo, ERP, documentação, correio electrónico e pontos de decisão manual.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Identificação de estrangulamentos, tarefas repetitivas, dados subaproveitados e decisões dependentes de conhecimento individual.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Catalogação de casos de uso candidatos e avaliação por impacto, esforço, disponibilidade de dados e risco.</w:t>
      </w:r>
    </w:p>
    <w:p>
      <w:pPr>
        <w:pStyle w:val="ListParagraph"/>
        <w:numPr>
          <w:ilvl w:val="0"/>
          <w:numId w:val="3"/>
        </w:numPr>
        <w:spacing w:after="70" w:line="276"/>
        <w:jc w:val="both"/>
      </w:pPr>
      <w:r>
        <w:t xml:space="preserve">Priorização conjunta com a DOLMEN, elaboração do roteiro e sessão de apresentação de conclusões à direcção.</w:t>
      </w:r>
    </w:p>
    <w:p>
      <w:pPr>
        <w:pStyle w:val="Heading1"/>
      </w:pPr>
      <w:r>
        <w:t xml:space="preserve">4. Entregáveis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Relatório de diagnóstico de maturidade digital e de dados da DOLMEN.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Catálogo de casos de uso de IA e automatização identificados.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Roteiro priorizado (impacto / esforço) com recomendação da sequência de implementação.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Estimativa orientativa de investimento e retorno esperado para os casos de uso prioritários.</w:t>
      </w:r>
    </w:p>
    <w:p>
      <w:pPr>
        <w:pStyle w:val="ListParagraph"/>
        <w:numPr>
          <w:ilvl w:val="0"/>
          <w:numId w:val="2"/>
        </w:numPr>
        <w:spacing w:after="70" w:line="276"/>
        <w:jc w:val="both"/>
      </w:pPr>
      <w:r>
        <w:t xml:space="preserve">Sessão de apresentação de conclusões à direcção.</w:t>
      </w:r>
    </w:p>
    <w:p>
      <w:pPr>
        <w:pStyle w:val="Heading1"/>
      </w:pPr>
      <w:r>
        <w:t xml:space="preserve">5. Calendário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4826"/>
        <w:gridCol w:w="20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Semana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Actividade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Marco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Semanas 1–2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Kick-off, sessões com as áreas e recolha de informação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Kick-off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Semanas 3–4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Análise de processos e dados; catalogação de casos de uso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Rascunho de conclusões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BEAEB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Semanas 5–6</w:t>
            </w:r>
          </w:p>
        </w:tc>
        <w:tc>
          <w:tcPr>
            <w:tcW w:type="dxa" w:w="48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Priorização, roteiro e apresentação à direcção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Entrega final</w:t>
            </w:r>
          </w:p>
        </w:tc>
      </w:tr>
    </w:tbl>
    <w:p>
      <w:pPr>
        <w:spacing w:after="140" w:line="276"/>
        <w:jc w:val="both"/>
      </w:pPr>
      <w:r>
        <w:t xml:space="preserve"/>
      </w:r>
    </w:p>
    <w:p>
      <w:pPr>
        <w:spacing w:after="140" w:line="276"/>
        <w:jc w:val="both"/>
      </w:pPr>
      <w:r>
        <w:t xml:space="preserve">Duração estimada: cinco (5) a seis (6) semanas a contar da reunião de arranque, sujeita à disponibilidade dos interlocutores da DOLMEN e à entrega atempada da informação solicitada.</w:t>
      </w:r>
    </w:p>
    <w:p>
      <w:pPr>
        <w:pStyle w:val="Heading1"/>
      </w:pPr>
      <w:r>
        <w:t xml:space="preserve">6. Preço e condições de pagamento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2526"/>
        <w:gridCol w:w="2000"/>
      </w:tblGrid>
      <w:tr>
        <w:trPr>
          <w:tblHeader/>
        </w:trP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Conceito</w:t>
            </w:r>
          </w:p>
        </w:tc>
        <w:tc>
          <w:tcPr>
            <w:tcW w:type="dxa" w:w="2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Modalidade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323D" w:val="clear"/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color w:val="FFFFFF"/>
                <w:sz w:val="20"/>
                <w:szCs w:val="20"/>
              </w:rPr>
              <w:t xml:space="preserve">Valor (€, sem IVA)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Diagnóstico de maturidade e roteiro (Fase 1)</w:t>
            </w:r>
          </w:p>
        </w:tc>
        <w:tc>
          <w:tcPr>
            <w:tcW w:type="dxa" w:w="2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Preço fixo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 xml:space="preserve">5.850 €</w:t>
            </w:r>
          </w:p>
        </w:tc>
      </w:tr>
    </w:tbl>
    <w:p>
      <w:pPr>
        <w:spacing w:after="140" w:line="276"/>
        <w:jc w:val="both"/>
      </w:pPr>
      <w:r>
        <w:t xml:space="preserve"/>
      </w:r>
    </w:p>
    <w:p>
      <w:pPr>
        <w:spacing w:after="120" w:line="276"/>
        <w:jc w:val="both"/>
      </w:pPr>
      <w:r>
        <w:rPr>
          <w:b/>
          <w:bCs/>
        </w:rPr>
        <w:t xml:space="preserve">6.1. </w:t>
      </w:r>
      <w:r>
        <w:t xml:space="preserve">O valor indicado não inclui o IVA aplicável, que será repercutido conforme a legislação em vigor.</w:t>
      </w:r>
    </w:p>
    <w:p>
      <w:pPr>
        <w:spacing w:after="120" w:line="276"/>
        <w:jc w:val="both"/>
      </w:pPr>
      <w:r>
        <w:rPr>
          <w:b/>
          <w:bCs/>
        </w:rPr>
        <w:t xml:space="preserve">6.2. </w:t>
      </w:r>
      <w:r>
        <w:t xml:space="preserve">Forma de pagamento: 50 % (2.925 €, sem IVA) à assinatura da presente Folha de Encomenda e os restantes 50 % (2.925 €, sem IVA) à entrega do relatório de diagnóstico. O pagamento será efectuado mediante transferência bancária a trinta (30) dias a contar da data de cada factura.</w:t>
      </w:r>
    </w:p>
    <w:p>
      <w:pPr>
        <w:spacing w:after="120" w:line="276"/>
        <w:jc w:val="both"/>
      </w:pPr>
      <w:r>
        <w:rPr>
          <w:b/>
          <w:bCs/>
        </w:rPr>
        <w:t xml:space="preserve">6.3. </w:t>
      </w:r>
      <w:r>
        <w:t xml:space="preserve">Bonificação por continuidade: caso a DOLMEN decida avançar para a Fase 2, 50 % do valor da presente Fase 1 (2.925 €, sem IVA) será descontado no primeiro projecto de implementação que se formalize.</w:t>
      </w:r>
    </w:p>
    <w:p>
      <w:pPr>
        <w:pStyle w:val="Heading1"/>
      </w:pPr>
      <w:r>
        <w:t xml:space="preserve">7. Condições particulares</w:t>
      </w:r>
    </w:p>
    <w:p>
      <w:pPr>
        <w:spacing w:after="120" w:line="276"/>
        <w:jc w:val="both"/>
      </w:pPr>
      <w:r>
        <w:rPr>
          <w:b/>
          <w:bCs/>
        </w:rPr>
        <w:t xml:space="preserve">7.1. </w:t>
      </w:r>
      <w:r>
        <w:t xml:space="preserve">A DOLMEN designará um interlocutor responsável por coordenar as sessões, facultar a informação e validar o entregável final.</w:t>
      </w:r>
    </w:p>
    <w:p>
      <w:pPr>
        <w:spacing w:after="120" w:line="276"/>
        <w:jc w:val="both"/>
      </w:pPr>
      <w:r>
        <w:rPr>
          <w:b/>
          <w:bCs/>
        </w:rPr>
        <w:t xml:space="preserve">7.2. </w:t>
      </w:r>
      <w:r>
        <w:t xml:space="preserve">O resultado desta encomenda (relatório, catálogo e roteiro) é entregue para uso interno da DOLMEN. O conhecimento, as metodologias e os modelos utilizados pela Pumpún para o elaborar constituem Material Preexistente e permanecem da sua titularidade, nos termos da cláusula 6 do Acordo-Quadro.</w:t>
      </w:r>
    </w:p>
    <w:p>
      <w:pPr>
        <w:spacing w:after="120" w:line="276"/>
        <w:jc w:val="both"/>
      </w:pPr>
      <w:r>
        <w:rPr>
          <w:b/>
          <w:bCs/>
        </w:rPr>
        <w:t xml:space="preserve">7.3. </w:t>
      </w:r>
      <w:r>
        <w:t xml:space="preserve">Durante esta fase não está previsto o tratamento de dados pessoais por parte da Pumpún. Caso, durante a sua execução, tal se revele necessário, será celebrado previamente o Contrato de Subcontratação de Tratamento (art. 28.º do RGPD), nos termos da cláusula 8 do Acordo-Quadro.</w:t>
      </w:r>
    </w:p>
    <w:p>
      <w:pPr>
        <w:spacing w:after="120" w:line="276"/>
        <w:jc w:val="both"/>
      </w:pPr>
      <w:r>
        <w:rPr>
          <w:b/>
          <w:bCs/>
        </w:rPr>
        <w:t xml:space="preserve">7.4. </w:t>
      </w:r>
      <w:r>
        <w:t xml:space="preserve">A presente encomenda é de natureza consultiva. As suas conclusões constituem recomendações que a DOLMEN ponderará e decidirá livremente, sem que a Pumpún garanta resultados económicos concretos decorrentes da sua implementação.</w:t>
      </w:r>
    </w:p>
    <w:p>
      <w:pPr>
        <w:pStyle w:val="Heading1"/>
      </w:pPr>
      <w:r>
        <w:t xml:space="preserve">8. Aceitação</w:t>
      </w:r>
    </w:p>
    <w:p>
      <w:pPr>
        <w:spacing w:after="140" w:line="276"/>
        <w:jc w:val="both"/>
      </w:pPr>
      <w:r>
        <w:t xml:space="preserve">As partes manifestam a sua conformidade com a presente Folha de Encomenda, que se incorpora como Anexo I ao Acordo-Quadro de referência e se rege pelos seus termos.</w:t>
      </w:r>
    </w:p>
    <w:p>
      <w:pPr>
        <w:spacing w:before="20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60"/>
            </w:pPr>
            <w:r>
              <w:rPr>
                <w:b/>
                <w:bCs/>
                <w:sz w:val="20"/>
                <w:szCs w:val="20"/>
              </w:rPr>
              <w:t xml:space="preserve">Por PUMPÚN DIXITAL, S.L.</w:t>
            </w:r>
          </w:p>
          <w:p>
            <w:pPr>
              <w:spacing w:before="800"/>
            </w:pPr>
            <w:r>
              <w:rPr>
                <w:sz w:val="20"/>
                <w:szCs w:val="20"/>
              </w:rPr>
              <w:t xml:space="preserve">Ass.: ____________________</w:t>
            </w:r>
          </w:p>
          <w:p>
            <w:r>
              <w:rPr>
                <w:sz w:val="20"/>
                <w:szCs w:val="20"/>
              </w:rPr>
              <w:t xml:space="preserve">Nome: José Carlos García Sánchez</w:t>
            </w:r>
          </w:p>
          <w:p>
            <w:r>
              <w:rPr>
                <w:sz w:val="20"/>
                <w:szCs w:val="20"/>
              </w:rPr>
              <w:t xml:space="preserve">D.N.I.: 76710308H</w:t>
            </w:r>
          </w:p>
          <w:p>
            <w:r>
              <w:rPr>
                <w:sz w:val="20"/>
                <w:szCs w:val="20"/>
              </w:rPr>
              <w:t xml:space="preserve">Data:</w:t>
            </w:r>
          </w:p>
        </w:tc>
        <w:tc>
          <w:tcPr>
            <w:tcW w:type="dxa" w:w="451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90"/>
              <w:left w:type="dxa" w:w="140"/>
              <w:bottom w:type="dxa" w:w="90"/>
              <w:right w:type="dxa" w:w="140"/>
            </w:tcMar>
          </w:tcPr>
          <w:p>
            <w:pPr>
              <w:spacing w:after="60"/>
            </w:pPr>
            <w:r>
              <w:rPr>
                <w:b/>
                <w:bCs/>
                <w:sz w:val="20"/>
                <w:szCs w:val="20"/>
              </w:rPr>
              <w:t xml:space="preserve">Por DOLMEN GRANITOS Y MÁRMOLES, S.L.</w:t>
            </w:r>
          </w:p>
          <w:p>
            <w:pPr>
              <w:spacing w:before="700"/>
            </w:pPr>
            <w:r>
              <w:rPr>
                <w:sz w:val="20"/>
                <w:szCs w:val="20"/>
              </w:rPr>
              <w:t xml:space="preserve">Ass.: ____________________</w:t>
            </w:r>
          </w:p>
          <w:p>
            <w:r>
              <w:rPr>
                <w:sz w:val="20"/>
                <w:szCs w:val="20"/>
              </w:rPr>
              <w:t xml:space="preserve">Nome: David Fernández Sanromán</w:t>
            </w:r>
          </w:p>
          <w:p>
            <w:r>
              <w:rPr>
                <w:sz w:val="20"/>
                <w:szCs w:val="20"/>
              </w:rPr>
              <w:t xml:space="preserve">D.N.I.: 36106736W</w:t>
            </w:r>
          </w:p>
          <w:p>
            <w:pPr>
              <w:spacing w:before="400"/>
            </w:pPr>
            <w:r>
              <w:rPr>
                <w:sz w:val="20"/>
                <w:szCs w:val="20"/>
              </w:rPr>
              <w:t xml:space="preserve">Ass.: ____________________</w:t>
            </w:r>
          </w:p>
          <w:p>
            <w:r>
              <w:rPr>
                <w:sz w:val="20"/>
                <w:szCs w:val="20"/>
              </w:rPr>
              <w:t xml:space="preserve">Nome: María Noelia Santomé Iglesias</w:t>
            </w:r>
          </w:p>
          <w:p>
            <w:r>
              <w:rPr>
                <w:sz w:val="20"/>
                <w:szCs w:val="20"/>
              </w:rPr>
              <w:t xml:space="preserve">D.N.I.: 36118934X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DDDDD" w:sz="4" w:space="4"/>
      </w:pBdr>
      <w:tabs>
        <w:tab w:val="right" w:pos="9026"/>
      </w:tabs>
    </w:pPr>
    <w:r>
      <w:rPr>
        <w:color w:val="595959"/>
        <w:sz w:val="15"/>
        <w:szCs w:val="15"/>
      </w:rPr>
      <w:t xml:space="preserve">Documento confidencial · Ref. PD-HE-2026-DOLMEN-01</w:t>
    </w:r>
    <w:r>
      <w:rPr>
        <w:color w:val="595959"/>
        <w:sz w:val="15"/>
        <w:szCs w:val="15"/>
      </w:rPr>
      <w:t xml:space="preserve">	Página </w:t>
    </w:r>
    <w:r>
      <w:rPr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95959"/>
        <w:sz w:val="15"/>
        <w:szCs w:val="15"/>
      </w:rPr>
      <w:t xml:space="preserve"> de </w:t>
    </w:r>
    <w:r>
      <w:rPr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DDDDD" w:sz="4" w:space="4"/>
      </w:pBdr>
      <w:tabs>
        <w:tab w:val="right" w:pos="9026"/>
      </w:tabs>
    </w:pPr>
    <w:r>
      <w:rPr>
        <w:b/>
        <w:bCs/>
        <w:color w:val="595959"/>
        <w:sz w:val="16"/>
        <w:szCs w:val="16"/>
      </w:rPr>
      <w:t xml:space="preserve">Folha de Encomenda n.º 1 — Fase 1</w:t>
    </w:r>
    <w:r>
      <w:rPr>
        <w:color w:val="595959"/>
        <w:sz w:val="15"/>
        <w:szCs w:val="15"/>
      </w:rPr>
      <w:t xml:space="preserve">	Anexo I ao Acordo-Quadro PD-AM-2026-DOLMEN-01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60" w:hanging="260"/>
      </w:pPr>
      <w:rPr>
        <w:color w:val="D5323D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6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A1A1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keepNext/>
      <w:pBdr>
        <w:bottom w:val="single" w:color="D5323D" w:sz="6" w:space="6"/>
      </w:pBdr>
      <w:spacing w:after="140" w:before="300"/>
      <w:outlineLvl w:val="0"/>
    </w:pPr>
    <w:rPr>
      <w:rFonts w:ascii="Arial" w:cs="Arial" w:eastAsia="Arial" w:hAnsi="Arial"/>
      <w:b/>
      <w:bCs/>
      <w:color w:val="D5323D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Encomenda n.º 1 — Fase 1 Diagnóstico — DOLMEN Granitos y Mármoles S.L.</dc:title>
  <dc:creator>Pumpún Dixital S.L.</dc:creator>
  <cp:lastModifiedBy>Un-named</cp:lastModifiedBy>
  <cp:revision>1</cp:revision>
  <dcterms:created xsi:type="dcterms:W3CDTF">2026-06-30T09:55:50.657Z</dcterms:created>
  <dcterms:modified xsi:type="dcterms:W3CDTF">2026-06-30T09:55:50.657Z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